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media/image3.svg" ContentType="image/svg"/>
  <Override PartName="/word/numbering.xml" ContentType="application/vnd.openxmlformats-officedocument.wordprocessingml.numbering+xml"/>
  <Override PartName="/word/footer1.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styles.xml" ContentType="application/vnd.openxmlformats-officedocument.wordprocessingml.styles+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lineRule="auto" w:line="240" w:before="245" w:after="0"/>
        <w:jc w:val="center"/>
        <w:rPr>
          <w:rFonts w:ascii="Adwaita Sans" w:hAnsi="Adwaita Sans" w:eastAsia="Calibri" w:cs="Times New Roman"/>
          <w:sz w:val="30"/>
          <w:szCs w:val="30"/>
          <w:shd w:fill="auto" w:val="clear"/>
          <w:lang w:val="en-US" w:eastAsia="en-US" w:bidi="ar-SA"/>
        </w:rPr>
      </w:pPr>
      <w:r>
        <w:rPr>
          <w:rFonts w:eastAsia="Calibri" w:cs="Times New Roman" w:ascii="Adwaita Sans" w:hAnsi="Adwaita Sans"/>
          <w:sz w:val="30"/>
          <w:szCs w:val="30"/>
          <w:shd w:fill="auto" w:val="clear"/>
          <w:lang w:val="en-US" w:eastAsia="en-US" w:bidi="ar-SA"/>
        </w:rPr>
        <w:t>Publication ethics</w:t>
      </w:r>
    </w:p>
    <w:p>
      <w:pPr>
        <w:pStyle w:val="BodyText"/>
        <w:bidi w:val="0"/>
        <w:spacing w:lineRule="auto" w:line="240"/>
        <w:jc w:val="center"/>
        <w:rPr>
          <w:rFonts w:ascii="Adwaita Sans" w:hAnsi="Adwaita Sans" w:eastAsia="Calibri" w:cs="Times New Roman"/>
          <w:sz w:val="24"/>
          <w:szCs w:val="24"/>
          <w:highlight w:val="none"/>
          <w:shd w:fill="auto" w:val="clear"/>
          <w:lang w:val="en-US" w:eastAsia="en-US" w:bidi="ar-SA"/>
        </w:rPr>
      </w:pPr>
      <w:r>
        <w:rPr>
          <w:rFonts w:eastAsia="Calibri" w:cs="Times New Roman" w:ascii="Adwaita Sans" w:hAnsi="Adwaita Sans"/>
          <w:sz w:val="24"/>
          <w:szCs w:val="24"/>
          <w:shd w:fill="auto" w:val="clear"/>
          <w:lang w:val="en-US" w:eastAsia="en-US" w:bidi="ar-SA"/>
        </w:rPr>
      </w:r>
    </w:p>
    <w:p>
      <w:pPr>
        <w:pStyle w:val="BodyText"/>
        <w:spacing w:lineRule="auto" w:line="240"/>
        <w:jc w:val="both"/>
        <w:rPr>
          <w:rFonts w:ascii="Adwaita Sans" w:hAnsi="Adwaita Sans"/>
          <w:sz w:val="22"/>
          <w:szCs w:val="22"/>
        </w:rPr>
      </w:pPr>
      <w:r>
        <w:rPr>
          <w:rFonts w:ascii="Adwaita Sans" w:hAnsi="Adwaita Sans"/>
          <w:sz w:val="22"/>
          <w:szCs w:val="22"/>
          <w:lang w:val="en-US" w:eastAsia="en-US" w:bidi="ar-SA"/>
        </w:rPr>
        <w:t xml:space="preserve">The following ethics statement for publication and good practices in the </w:t>
      </w:r>
      <w:r>
        <w:rPr>
          <w:rStyle w:val="Emphasis"/>
          <w:rFonts w:ascii="Adwaita Sans" w:hAnsi="Adwaita Sans"/>
          <w:sz w:val="22"/>
          <w:szCs w:val="22"/>
          <w:lang w:val="en-US" w:eastAsia="en-US" w:bidi="ar-SA"/>
        </w:rPr>
        <w:t>Universidad y Salud</w:t>
      </w:r>
      <w:r>
        <w:rPr>
          <w:rFonts w:ascii="Adwaita Sans" w:hAnsi="Adwaita Sans"/>
          <w:sz w:val="22"/>
          <w:szCs w:val="22"/>
          <w:lang w:val="en-US" w:eastAsia="en-US" w:bidi="ar-SA"/>
        </w:rPr>
        <w:t xml:space="preserve"> Journal (</w:t>
      </w:r>
      <w:r>
        <w:rPr>
          <w:rFonts w:ascii="Adwaita Sans" w:hAnsi="Adwaita Sans"/>
          <w:i/>
          <w:iCs/>
          <w:sz w:val="22"/>
          <w:szCs w:val="22"/>
          <w:lang w:val="en-US" w:eastAsia="en-US" w:bidi="ar-SA"/>
        </w:rPr>
        <w:t>Univ Salud</w:t>
      </w:r>
      <w:r>
        <w:rPr>
          <w:rFonts w:ascii="Adwaita Sans" w:hAnsi="Adwaita Sans"/>
          <w:sz w:val="22"/>
          <w:szCs w:val="22"/>
          <w:lang w:val="en-US" w:eastAsia="en-US" w:bidi="ar-SA"/>
        </w:rPr>
        <w:t xml:space="preserve">) is based on the </w:t>
      </w:r>
      <w:hyperlink r:id="rId2">
        <w:r>
          <w:rPr>
            <w:rStyle w:val="Hyperlink"/>
            <w:rFonts w:ascii="Adwaita Sans" w:hAnsi="Adwaita Sans"/>
            <w:sz w:val="22"/>
            <w:szCs w:val="22"/>
            <w:lang w:val="en-US" w:eastAsia="en-US" w:bidi="ar-SA"/>
          </w:rPr>
          <w:t xml:space="preserve">Code of Conduct and Good Practices </w:t>
        </w:r>
      </w:hyperlink>
      <w:r>
        <w:rPr>
          <w:rFonts w:ascii="Adwaita Sans" w:hAnsi="Adwaita Sans"/>
          <w:sz w:val="22"/>
          <w:szCs w:val="22"/>
          <w:lang w:val="en-US" w:eastAsia="en-US" w:bidi="ar-SA"/>
        </w:rPr>
        <w:t xml:space="preserve">defined by the Committee for Ethics in Publications (COPE) by editors of scientific journals, the </w:t>
      </w:r>
      <w:hyperlink r:id="rId3">
        <w:r>
          <w:rPr>
            <w:rStyle w:val="Hyperlink"/>
            <w:rFonts w:ascii="Adwaita Sans" w:hAnsi="Adwaita Sans"/>
            <w:sz w:val="22"/>
            <w:szCs w:val="22"/>
            <w:lang w:val="en-US" w:eastAsia="en-US" w:bidi="ar-SA"/>
          </w:rPr>
          <w:t xml:space="preserve">Code of Ethics and Declaration of Good Practice </w:t>
        </w:r>
      </w:hyperlink>
      <w:r>
        <w:rPr>
          <w:rFonts w:ascii="Adwaita Sans" w:hAnsi="Adwaita Sans"/>
          <w:sz w:val="22"/>
          <w:szCs w:val="22"/>
          <w:lang w:val="en-US" w:eastAsia="en-US" w:bidi="ar-SA"/>
        </w:rPr>
        <w:t xml:space="preserve">established by the Barcelona Center For International Affairs (CIDOB) and the </w:t>
      </w:r>
      <w:hyperlink r:id="rId4">
        <w:r>
          <w:rPr>
            <w:rStyle w:val="Hyperlink"/>
            <w:rFonts w:ascii="Adwaita Sans" w:hAnsi="Adwaita Sans"/>
            <w:sz w:val="22"/>
            <w:szCs w:val="22"/>
            <w:lang w:val="en-US" w:eastAsia="en-US" w:bidi="ar-SA"/>
          </w:rPr>
          <w:t xml:space="preserve">Singapore Declaration </w:t>
        </w:r>
      </w:hyperlink>
      <w:r>
        <w:rPr>
          <w:rFonts w:ascii="Adwaita Sans" w:hAnsi="Adwaita Sans"/>
          <w:sz w:val="22"/>
          <w:szCs w:val="22"/>
          <w:lang w:val="en-US" w:eastAsia="en-US" w:bidi="ar-SA"/>
        </w:rPr>
        <w:t>. All parties involved in the publication of the journal must accept and respect the ethical principles expressed in this document.</w:t>
      </w:r>
    </w:p>
    <w:p>
      <w:pPr>
        <w:pStyle w:val="BodyText"/>
        <w:spacing w:lineRule="auto" w:line="240"/>
        <w:jc w:val="both"/>
        <w:rPr>
          <w:rFonts w:ascii="Adwaita Sans" w:hAnsi="Adwaita Sans"/>
          <w:sz w:val="22"/>
          <w:szCs w:val="22"/>
          <w:lang w:val="en-US" w:eastAsia="en-US" w:bidi="ar-SA"/>
        </w:rPr>
      </w:pPr>
      <w:r>
        <w:rPr>
          <w:rFonts w:ascii="Adwaita Sans" w:hAnsi="Adwaita Sans"/>
          <w:sz w:val="22"/>
          <w:szCs w:val="22"/>
          <w:lang w:val="en-US" w:eastAsia="en-US" w:bidi="ar-SA"/>
        </w:rPr>
      </w:r>
    </w:p>
    <w:p>
      <w:pPr>
        <w:sectPr>
          <w:headerReference w:type="even" r:id="rId5"/>
          <w:headerReference w:type="default" r:id="rId6"/>
          <w:headerReference w:type="first" r:id="rId7"/>
          <w:footerReference w:type="even" r:id="rId8"/>
          <w:footerReference w:type="default" r:id="rId9"/>
          <w:footerReference w:type="first" r:id="rId10"/>
          <w:type w:val="nextPage"/>
          <w:pgSz w:w="12240" w:h="15840"/>
          <w:pgMar w:left="1701" w:right="1701" w:gutter="0" w:header="792" w:top="1498" w:footer="792" w:bottom="1498"/>
          <w:pgNumType w:fmt="decimal"/>
          <w:formProt w:val="false"/>
          <w:textDirection w:val="lrTb"/>
          <w:docGrid w:type="default" w:linePitch="360" w:charSpace="0"/>
        </w:sectPr>
      </w:pPr>
    </w:p>
    <w:p>
      <w:pPr>
        <w:pStyle w:val="BodyText"/>
        <w:spacing w:lineRule="auto" w:line="240" w:before="0" w:after="0"/>
        <w:ind w:hanging="0" w:start="0" w:end="0"/>
        <w:jc w:val="both"/>
        <w:rPr>
          <w:rFonts w:ascii="Adwaita Sans" w:hAnsi="Adwaita Sans"/>
          <w:lang w:val="en-US" w:eastAsia="en-US" w:bidi="ar-SA"/>
        </w:rPr>
      </w:pPr>
      <w:r>
        <w:rPr>
          <w:rFonts w:ascii="Adwaita Sans" w:hAnsi="Adwaita Sans"/>
          <w:b/>
          <w:bCs/>
          <w:sz w:val="26"/>
          <w:szCs w:val="26"/>
          <w:lang w:val="en-US" w:eastAsia="en-US" w:bidi="ar-SA"/>
        </w:rPr>
        <w:t>1. Publications and compliance with good practices</w:t>
      </w:r>
    </w:p>
    <w:p>
      <w:pPr>
        <w:pStyle w:val="BodyText"/>
        <w:spacing w:lineRule="auto" w:line="240" w:before="0" w:after="0"/>
        <w:ind w:hanging="0" w:start="0" w:end="0"/>
        <w:jc w:val="both"/>
        <w:rPr>
          <w:rFonts w:ascii="Adwaita Sans" w:hAnsi="Adwaita Sans"/>
          <w:sz w:val="22"/>
          <w:szCs w:val="22"/>
          <w:lang w:val="en-US" w:eastAsia="en-US" w:bidi="ar-SA"/>
        </w:rPr>
      </w:pPr>
      <w:r>
        <w:rPr>
          <w:rFonts w:ascii="Adwaita Sans" w:hAnsi="Adwaita Sans"/>
          <w:sz w:val="22"/>
          <w:szCs w:val="22"/>
          <w:lang w:val="en-US" w:eastAsia="en-US" w:bidi="ar-SA"/>
        </w:rPr>
      </w:r>
    </w:p>
    <w:p>
      <w:pPr>
        <w:sectPr>
          <w:type w:val="continuous"/>
          <w:pgSz w:w="12240" w:h="15840"/>
          <w:pgMar w:left="1701" w:right="1701" w:gutter="0" w:header="792" w:top="1498" w:footer="792" w:bottom="1498"/>
          <w:formProt w:val="false"/>
          <w:textDirection w:val="lrTb"/>
          <w:docGrid w:type="default" w:linePitch="360" w:charSpace="0"/>
        </w:sectPr>
      </w:pPr>
    </w:p>
    <w:p>
      <w:pPr>
        <w:pStyle w:val="BodyText"/>
        <w:spacing w:lineRule="auto" w:line="240"/>
        <w:ind w:hanging="0" w:start="0" w:end="0"/>
        <w:jc w:val="both"/>
        <w:rPr/>
      </w:pPr>
      <w:r>
        <w:rPr>
          <w:rStyle w:val="Strong"/>
          <w:rFonts w:ascii="Adwaita Sans" w:hAnsi="Adwaita Sans"/>
          <w:sz w:val="22"/>
          <w:szCs w:val="22"/>
          <w:lang w:val="en-US" w:eastAsia="en-US" w:bidi="ar-SA"/>
        </w:rPr>
        <w:t>1.1 References and plagiarism.</w:t>
      </w:r>
      <w:r>
        <w:rPr>
          <w:rFonts w:ascii="Adwaita Sans" w:hAnsi="Adwaita Sans"/>
          <w:sz w:val="22"/>
          <w:szCs w:val="22"/>
          <w:lang w:val="en-US" w:eastAsia="en-US" w:bidi="ar-SA"/>
        </w:rPr>
        <w:t xml:space="preserve"> The author(s) is responsible for the accuracy of the content and citation of all references, in order to ensure that the article and the materials associated with it are original or do not infringe copyright. </w:t>
      </w:r>
      <w:r>
        <w:rPr>
          <w:rFonts w:ascii="Adwaita Sans" w:hAnsi="Adwaita Sans"/>
          <w:b/>
          <w:bCs/>
          <w:sz w:val="22"/>
          <w:szCs w:val="22"/>
          <w:lang w:val="en-US" w:eastAsia="en-US" w:bidi="ar-SA"/>
        </w:rPr>
        <w:t>Plagiarism is absolutely prohibited</w:t>
      </w:r>
      <w:r>
        <w:rPr>
          <w:rFonts w:ascii="Adwaita Sans" w:hAnsi="Adwaita Sans"/>
          <w:sz w:val="22"/>
          <w:szCs w:val="22"/>
          <w:lang w:val="en-US" w:eastAsia="en-US" w:bidi="ar-SA"/>
        </w:rPr>
        <w:t xml:space="preserve"> and therefore, articles identified as plagiarized, during or after the editorial process, will be removed from the journal (regardless of whether they have already been published). Excessive self-citation is also considered a bad practice.</w:t>
      </w:r>
    </w:p>
    <w:p>
      <w:pPr>
        <w:pStyle w:val="BodyText"/>
        <w:spacing w:lineRule="auto" w:line="240"/>
        <w:jc w:val="both"/>
        <w:rPr/>
      </w:pPr>
      <w:r>
        <w:rPr>
          <w:rStyle w:val="Strong"/>
          <w:rFonts w:ascii="Adwaita Sans" w:hAnsi="Adwaita Sans"/>
          <w:sz w:val="22"/>
          <w:szCs w:val="22"/>
          <w:lang w:val="en-US" w:eastAsia="en-US" w:bidi="ar-SA"/>
        </w:rPr>
        <w:t>1.2 Evaluation of articles.</w:t>
      </w:r>
      <w:r>
        <w:rPr>
          <w:rFonts w:ascii="Adwaita Sans" w:hAnsi="Adwaita Sans"/>
          <w:sz w:val="22"/>
          <w:szCs w:val="22"/>
          <w:lang w:val="en-US" w:eastAsia="en-US" w:bidi="ar-SA"/>
        </w:rPr>
        <w:t xml:space="preserve"> Each article will be evaluated by the </w:t>
      </w:r>
      <w:r>
        <w:rPr>
          <w:rStyle w:val="Strong"/>
          <w:rFonts w:ascii="Adwaita Sans" w:hAnsi="Adwaita Sans"/>
          <w:sz w:val="22"/>
          <w:szCs w:val="22"/>
          <w:lang w:val="en-US" w:eastAsia="en-US" w:bidi="ar-SA"/>
        </w:rPr>
        <w:t>peer review</w:t>
      </w:r>
      <w:r>
        <w:rPr>
          <w:rFonts w:ascii="Adwaita Sans" w:hAnsi="Adwaita Sans"/>
          <w:sz w:val="22"/>
          <w:szCs w:val="22"/>
          <w:lang w:val="en-US" w:eastAsia="en-US" w:bidi="ar-SA"/>
        </w:rPr>
        <w:t xml:space="preserve"> method to determine its technical quality, originality, scientific contribution, among other relevant criteria. Peer review is governed by the </w:t>
      </w:r>
      <w:r>
        <w:rPr>
          <w:rStyle w:val="Strong"/>
          <w:rFonts w:ascii="Adwaita Sans" w:hAnsi="Adwaita Sans"/>
          <w:sz w:val="22"/>
          <w:szCs w:val="22"/>
          <w:lang w:val="en-US" w:eastAsia="en-US" w:bidi="ar-SA"/>
        </w:rPr>
        <w:t>double-blind</w:t>
      </w:r>
      <w:r>
        <w:rPr>
          <w:rFonts w:ascii="Adwaita Sans" w:hAnsi="Adwaita Sans"/>
          <w:sz w:val="22"/>
          <w:szCs w:val="22"/>
          <w:lang w:val="en-US" w:eastAsia="en-US" w:bidi="ar-SA"/>
        </w:rPr>
        <w:t xml:space="preserve"> method to ensure an evaluation process that is free from bias or conflict of interest. Final opinions, or approval, will be issued by the Editor-in-Chief. This implies that the article can not be replaced or withdrawn during the evaluation process if it is recommended for publication.</w:t>
      </w:r>
    </w:p>
    <w:p>
      <w:pPr>
        <w:pStyle w:val="BodyText"/>
        <w:spacing w:lineRule="auto" w:line="240"/>
        <w:jc w:val="both"/>
        <w:rPr/>
      </w:pPr>
      <w:r>
        <w:rPr>
          <w:rStyle w:val="Strong"/>
          <w:rFonts w:ascii="Adwaita Sans" w:hAnsi="Adwaita Sans"/>
          <w:sz w:val="22"/>
          <w:szCs w:val="22"/>
          <w:lang w:val="en-US" w:eastAsia="en-US" w:bidi="ar-SA"/>
        </w:rPr>
        <w:t>1.3 Article selection.</w:t>
      </w:r>
      <w:r>
        <w:rPr>
          <w:rFonts w:ascii="Adwaita Sans" w:hAnsi="Adwaita Sans"/>
          <w:sz w:val="22"/>
          <w:szCs w:val="22"/>
          <w:lang w:val="en-US" w:eastAsia="en-US" w:bidi="ar-SA"/>
        </w:rPr>
        <w:t xml:space="preserve"> The Editor-in-Chief will select articles from the list of eligible submissions according to eligibility criteria:</w:t>
      </w:r>
    </w:p>
    <w:p>
      <w:pPr>
        <w:pStyle w:val="BodyText"/>
        <w:numPr>
          <w:ilvl w:val="0"/>
          <w:numId w:val="1"/>
        </w:numPr>
        <w:tabs>
          <w:tab w:val="clear" w:pos="708"/>
          <w:tab w:val="left" w:pos="0" w:leader="none"/>
        </w:tabs>
        <w:spacing w:lineRule="auto" w:line="240" w:before="0" w:after="0"/>
        <w:ind w:hanging="283" w:start="709"/>
        <w:jc w:val="both"/>
        <w:rPr>
          <w:rFonts w:ascii="Adwaita Sans" w:hAnsi="Adwaita Sans"/>
          <w:sz w:val="22"/>
          <w:szCs w:val="22"/>
          <w:lang w:val="en-US" w:eastAsia="en-US" w:bidi="ar-SA"/>
        </w:rPr>
      </w:pPr>
      <w:r>
        <w:rPr>
          <w:rFonts w:ascii="Adwaita Sans" w:hAnsi="Adwaita Sans"/>
          <w:sz w:val="22"/>
          <w:szCs w:val="22"/>
          <w:lang w:val="en-US" w:eastAsia="en-US" w:bidi="ar-SA"/>
        </w:rPr>
        <w:t xml:space="preserve">Originality of the work. </w:t>
      </w:r>
    </w:p>
    <w:p>
      <w:pPr>
        <w:pStyle w:val="BodyText"/>
        <w:numPr>
          <w:ilvl w:val="0"/>
          <w:numId w:val="1"/>
        </w:numPr>
        <w:tabs>
          <w:tab w:val="clear" w:pos="708"/>
          <w:tab w:val="left" w:pos="0" w:leader="none"/>
        </w:tabs>
        <w:spacing w:lineRule="auto" w:line="240" w:before="0" w:after="0"/>
        <w:ind w:hanging="283" w:start="709"/>
        <w:jc w:val="both"/>
        <w:rPr>
          <w:rFonts w:ascii="Adwaita Sans" w:hAnsi="Adwaita Sans"/>
          <w:sz w:val="22"/>
          <w:szCs w:val="22"/>
          <w:lang w:val="en-US" w:eastAsia="en-US" w:bidi="ar-SA"/>
        </w:rPr>
      </w:pPr>
      <w:r>
        <w:rPr>
          <w:rFonts w:ascii="Adwaita Sans" w:hAnsi="Adwaita Sans"/>
          <w:sz w:val="22"/>
          <w:szCs w:val="22"/>
          <w:lang w:val="en-US" w:eastAsia="en-US" w:bidi="ar-SA"/>
        </w:rPr>
        <w:t xml:space="preserve">Relevance of the article. </w:t>
      </w:r>
    </w:p>
    <w:p>
      <w:pPr>
        <w:pStyle w:val="BodyText"/>
        <w:numPr>
          <w:ilvl w:val="0"/>
          <w:numId w:val="1"/>
        </w:numPr>
        <w:tabs>
          <w:tab w:val="clear" w:pos="708"/>
          <w:tab w:val="left" w:pos="0" w:leader="none"/>
        </w:tabs>
        <w:spacing w:lineRule="auto" w:line="240" w:before="0" w:after="0"/>
        <w:ind w:hanging="283" w:start="709"/>
        <w:jc w:val="both"/>
        <w:rPr>
          <w:rFonts w:ascii="Adwaita Sans" w:hAnsi="Adwaita Sans"/>
          <w:sz w:val="22"/>
          <w:szCs w:val="22"/>
          <w:lang w:val="en-US" w:eastAsia="en-US" w:bidi="ar-SA"/>
        </w:rPr>
      </w:pPr>
      <w:r>
        <w:rPr>
          <w:rFonts w:ascii="Adwaita Sans" w:hAnsi="Adwaita Sans"/>
          <w:sz w:val="22"/>
          <w:szCs w:val="22"/>
          <w:lang w:val="en-US" w:eastAsia="en-US" w:bidi="ar-SA"/>
        </w:rPr>
        <w:t xml:space="preserve">Quality of the article. </w:t>
      </w:r>
    </w:p>
    <w:p>
      <w:pPr>
        <w:pStyle w:val="BodyText"/>
        <w:numPr>
          <w:ilvl w:val="0"/>
          <w:numId w:val="1"/>
        </w:numPr>
        <w:tabs>
          <w:tab w:val="clear" w:pos="708"/>
          <w:tab w:val="left" w:pos="0" w:leader="none"/>
        </w:tabs>
        <w:spacing w:lineRule="auto" w:line="240" w:before="0" w:after="0"/>
        <w:ind w:hanging="283" w:start="709"/>
        <w:jc w:val="both"/>
        <w:rPr>
          <w:rFonts w:ascii="Adwaita Sans" w:hAnsi="Adwaita Sans"/>
          <w:sz w:val="22"/>
          <w:szCs w:val="22"/>
          <w:lang w:val="en-US" w:eastAsia="en-US" w:bidi="ar-SA"/>
        </w:rPr>
      </w:pPr>
      <w:r>
        <w:rPr>
          <w:rFonts w:ascii="Adwaita Sans" w:hAnsi="Adwaita Sans"/>
          <w:sz w:val="22"/>
          <w:szCs w:val="22"/>
          <w:lang w:val="en-US" w:eastAsia="en-US" w:bidi="ar-SA"/>
        </w:rPr>
        <w:t xml:space="preserve">Presentation, writing, and clarity of the article structure. </w:t>
      </w:r>
    </w:p>
    <w:p>
      <w:pPr>
        <w:pStyle w:val="BodyText"/>
        <w:numPr>
          <w:ilvl w:val="0"/>
          <w:numId w:val="1"/>
        </w:numPr>
        <w:tabs>
          <w:tab w:val="clear" w:pos="708"/>
          <w:tab w:val="left" w:pos="0" w:leader="none"/>
        </w:tabs>
        <w:spacing w:lineRule="auto" w:line="240"/>
        <w:ind w:hanging="283" w:start="709"/>
        <w:jc w:val="both"/>
        <w:rPr>
          <w:rFonts w:ascii="Adwaita Sans" w:hAnsi="Adwaita Sans"/>
          <w:sz w:val="22"/>
          <w:szCs w:val="22"/>
          <w:lang w:val="en-US" w:eastAsia="en-US" w:bidi="ar-SA"/>
        </w:rPr>
      </w:pPr>
      <w:r>
        <w:rPr>
          <w:rFonts w:ascii="Adwaita Sans" w:hAnsi="Adwaita Sans"/>
          <w:sz w:val="22"/>
          <w:szCs w:val="22"/>
          <w:lang w:val="en-US" w:eastAsia="en-US" w:bidi="ar-SA"/>
        </w:rPr>
        <w:t xml:space="preserve">In no case will race, gender, sexual orientation, belief, origin, citizenship, academic affiliation, business or political orientation of the author(s) be taken into consideration. </w:t>
      </w:r>
    </w:p>
    <w:p>
      <w:pPr>
        <w:pStyle w:val="BodyText"/>
        <w:spacing w:lineRule="auto" w:line="240"/>
        <w:jc w:val="both"/>
        <w:rPr/>
      </w:pPr>
      <w:r>
        <w:rPr>
          <w:rStyle w:val="Strong"/>
          <w:rFonts w:ascii="Adwaita Sans" w:hAnsi="Adwaita Sans"/>
          <w:sz w:val="22"/>
          <w:szCs w:val="22"/>
          <w:lang w:val="en-US" w:eastAsia="en-US" w:bidi="ar-SA"/>
        </w:rPr>
        <w:t>1.4 Confidentiality.</w:t>
      </w:r>
      <w:r>
        <w:rPr>
          <w:rFonts w:ascii="Adwaita Sans" w:hAnsi="Adwaita Sans"/>
          <w:sz w:val="22"/>
          <w:szCs w:val="22"/>
          <w:lang w:val="en-US" w:eastAsia="en-US" w:bidi="ar-SA"/>
        </w:rPr>
        <w:t xml:space="preserve"> The Editor-in-Chief, the Editorial Team, the Editorial Committee, and the peer reviewers, commit to not disclose any information about any article submitted to the journal, aside from the participants themselves during the selection process of the articles.</w:t>
      </w:r>
    </w:p>
    <w:p>
      <w:pPr>
        <w:pStyle w:val="BodyText"/>
        <w:spacing w:lineRule="auto" w:line="240"/>
        <w:jc w:val="both"/>
        <w:rPr/>
      </w:pPr>
      <w:r>
        <w:rPr>
          <w:rStyle w:val="Strong"/>
          <w:rFonts w:ascii="Adwaita Sans" w:hAnsi="Adwaita Sans"/>
          <w:sz w:val="22"/>
          <w:szCs w:val="22"/>
          <w:lang w:val="en-US" w:eastAsia="en-US" w:bidi="ar-SA"/>
        </w:rPr>
        <w:t>1.5 Article duplication or concurrence.</w:t>
      </w:r>
      <w:r>
        <w:rPr>
          <w:rFonts w:ascii="Adwaita Sans" w:hAnsi="Adwaita Sans"/>
          <w:sz w:val="22"/>
          <w:szCs w:val="22"/>
          <w:lang w:val="en-US" w:eastAsia="en-US" w:bidi="ar-SA"/>
        </w:rPr>
        <w:t xml:space="preserve"> The submission of a manuscript to the journal implies that the author agrees with the evaluation method that will be applied to the article, declares that the article has not been sent for evaluation or published to another journal, and confirms that the article is not in the process of publication in another journal. For this reason, the author(s) agrees not to send the article to another journal while waiting for the evaluation report. In this case, the submission will be eliminated.</w:t>
      </w:r>
    </w:p>
    <w:p>
      <w:pPr>
        <w:pStyle w:val="BodyText"/>
        <w:bidi w:val="0"/>
        <w:spacing w:lineRule="auto" w:line="240"/>
        <w:jc w:val="both"/>
        <w:rPr/>
      </w:pPr>
      <w:r>
        <w:rPr>
          <w:rStyle w:val="Strong"/>
          <w:rFonts w:ascii="Adwaita Sans" w:hAnsi="Adwaita Sans"/>
          <w:sz w:val="22"/>
          <w:szCs w:val="22"/>
          <w:lang w:val="en-US" w:eastAsia="en-US" w:bidi="ar-SA"/>
        </w:rPr>
        <w:t>1.6 Acknowledgement.</w:t>
      </w:r>
      <w:r>
        <w:rPr>
          <w:rFonts w:ascii="Adwaita Sans" w:hAnsi="Adwaita Sans"/>
          <w:sz w:val="22"/>
          <w:szCs w:val="22"/>
          <w:lang w:val="en-US" w:eastAsia="en-US" w:bidi="ar-SA"/>
        </w:rPr>
        <w:t xml:space="preserve"> The recognition of financial sponsors for research will be indicated in an exclusive section, and will be respected in the publication</w:t>
      </w:r>
      <w:r>
        <w:rPr>
          <w:rFonts w:ascii="Adwaita Sans" w:hAnsi="Adwaita Sans"/>
          <w:sz w:val="22"/>
          <w:szCs w:val="22"/>
          <w:lang w:val="en-US" w:eastAsia="en-US" w:bidi="ar-SA"/>
        </w:rPr>
        <w:t>.</w:t>
      </w:r>
    </w:p>
    <w:p>
      <w:pPr>
        <w:pStyle w:val="BodyText"/>
        <w:spacing w:lineRule="auto" w:line="240"/>
        <w:jc w:val="both"/>
        <w:rPr/>
      </w:pPr>
      <w:r>
        <w:rPr>
          <w:rStyle w:val="Strong"/>
          <w:rFonts w:ascii="Adwaita Sans" w:hAnsi="Adwaita Sans"/>
          <w:sz w:val="22"/>
          <w:szCs w:val="22"/>
          <w:lang w:val="en-US" w:eastAsia="en-US" w:bidi="ar-SA"/>
        </w:rPr>
        <w:t>1.7 Publication of Retractions and Manifestations of Concern.</w:t>
      </w:r>
      <w:r>
        <w:rPr>
          <w:rFonts w:ascii="Adwaita Sans" w:hAnsi="Adwaita Sans"/>
          <w:sz w:val="22"/>
          <w:szCs w:val="22"/>
          <w:lang w:val="en-US" w:eastAsia="en-US" w:bidi="ar-SA"/>
        </w:rPr>
        <w:t xml:space="preserve"> </w:t>
      </w:r>
      <w:r>
        <w:rPr>
          <w:rFonts w:ascii="Adwaita Sans" w:hAnsi="Adwaita Sans"/>
          <w:lang w:val="en-US" w:eastAsia="en-US" w:bidi="ar-SA"/>
        </w:rPr>
        <w:t xml:space="preserve">The procedures followed by the journal for the recording and publication of withdrawals and expressions of concern are based on the </w:t>
      </w:r>
      <w:hyperlink r:id="rId11">
        <w:r>
          <w:rPr>
            <w:rStyle w:val="Hyperlink"/>
            <w:rFonts w:ascii="Adwaita Sans" w:hAnsi="Adwaita Sans"/>
            <w:lang w:val="en-US" w:eastAsia="en-US" w:bidi="ar-SA"/>
          </w:rPr>
          <w:t xml:space="preserve">Guidelines on Best Practices for Publications </w:t>
        </w:r>
      </w:hyperlink>
      <w:r>
        <w:rPr>
          <w:rFonts w:ascii="Adwaita Sans" w:hAnsi="Adwaita Sans"/>
          <w:lang w:val="en-US" w:eastAsia="en-US" w:bidi="ar-SA"/>
        </w:rPr>
        <w:t xml:space="preserve">and the </w:t>
      </w:r>
      <w:hyperlink r:id="rId12">
        <w:r>
          <w:rPr>
            <w:rStyle w:val="Hyperlink"/>
            <w:rFonts w:ascii="Adwaita Sans" w:hAnsi="Adwaita Sans"/>
            <w:lang w:val="en-US" w:eastAsia="en-US" w:bidi="ar-SA"/>
          </w:rPr>
          <w:t xml:space="preserve">Retraction Guidelines </w:t>
        </w:r>
      </w:hyperlink>
      <w:r>
        <w:rPr>
          <w:rFonts w:ascii="Adwaita Sans" w:hAnsi="Adwaita Sans"/>
          <w:lang w:val="en-US" w:eastAsia="en-US" w:bidi="ar-SA"/>
        </w:rPr>
        <w:t xml:space="preserve">defined by the Committee on Publication Ethics (COPE) for Scientific Journal Editors. Retraction is a public instrument used to register and/or correct problems of a published article or to communicate its cancellation, and is an integral part of the scientific communication system. When an author discovers a serious error in their work, they have the obligation to communicate it to those responsible for the journal as </w:t>
      </w:r>
      <w:r>
        <w:rPr>
          <w:rStyle w:val="Strong"/>
          <w:rFonts w:ascii="Adwaita Sans" w:hAnsi="Adwaita Sans"/>
          <w:lang w:val="en-US" w:eastAsia="en-US" w:bidi="ar-SA"/>
        </w:rPr>
        <w:t>soon as possible</w:t>
      </w:r>
      <w:r>
        <w:rPr>
          <w:rFonts w:ascii="Adwaita Sans" w:hAnsi="Adwaita Sans"/>
          <w:lang w:val="en-US" w:eastAsia="en-US" w:bidi="ar-SA"/>
        </w:rPr>
        <w:t xml:space="preserve"> in order to modify the error, retract it, publish a correction or errata. If a potential error is detected by any of the editorial team members, authors are required to defend their work, and prove that it is correct</w:t>
      </w:r>
      <w:r>
        <w:rPr>
          <w:rFonts w:ascii="Adwaita Sans" w:hAnsi="Adwaita Sans"/>
          <w:sz w:val="22"/>
          <w:szCs w:val="22"/>
          <w:lang w:val="en-US" w:eastAsia="en-US" w:bidi="ar-SA"/>
        </w:rPr>
        <w:t>.</w:t>
      </w:r>
    </w:p>
    <w:p>
      <w:pPr>
        <w:pStyle w:val="BodyText"/>
        <w:spacing w:lineRule="auto" w:line="240"/>
        <w:jc w:val="both"/>
        <w:rPr>
          <w:rFonts w:ascii="Adwaita Sans" w:hAnsi="Adwaita Sans"/>
          <w:sz w:val="22"/>
          <w:szCs w:val="22"/>
          <w:lang w:val="en-US" w:eastAsia="en-US" w:bidi="ar-SA"/>
        </w:rPr>
      </w:pPr>
      <w:r>
        <w:rPr>
          <w:rFonts w:ascii="Adwaita Sans" w:hAnsi="Adwaita Sans"/>
          <w:sz w:val="22"/>
          <w:szCs w:val="22"/>
          <w:lang w:val="en-US" w:eastAsia="en-US" w:bidi="ar-SA"/>
        </w:rPr>
        <w:t>The procedure for recording an article's retraction begins after receiving formal communication of the author or researcher, requesting the retraction or manifestation of concern of the published article. The communication must be accompanied by the argument for retraction of the article. The retracted article will not be deleted from the volume where it was originally published. In the electronic version, a published message of the justification sent by the publisher will appear. The original PDF will be retained, but the retraction text added before the original full text, and watermark will prevent it from being read, or will make it difficult to read.</w:t>
      </w:r>
    </w:p>
    <w:p>
      <w:pPr>
        <w:sectPr>
          <w:type w:val="continuous"/>
          <w:pgSz w:w="12240" w:h="15840"/>
          <w:pgMar w:left="1701" w:right="1701" w:gutter="0" w:header="792" w:top="1498" w:footer="792" w:bottom="1498"/>
          <w:formProt w:val="false"/>
          <w:textDirection w:val="lrTb"/>
          <w:docGrid w:type="default" w:linePitch="360" w:charSpace="0"/>
        </w:sectPr>
      </w:pPr>
    </w:p>
    <w:p>
      <w:pPr>
        <w:pStyle w:val="BodyText"/>
        <w:spacing w:lineRule="auto" w:line="240" w:before="0" w:after="0"/>
        <w:ind w:hanging="0" w:start="0" w:end="0"/>
        <w:jc w:val="both"/>
        <w:rPr>
          <w:rFonts w:ascii="Adwaita Sans" w:hAnsi="Adwaita Sans"/>
          <w:b/>
          <w:bCs/>
          <w:sz w:val="26"/>
          <w:szCs w:val="26"/>
          <w:lang w:val="en-US" w:eastAsia="en-US" w:bidi="ar-SA"/>
        </w:rPr>
      </w:pPr>
      <w:r>
        <w:rPr>
          <w:rFonts w:ascii="Adwaita Sans" w:hAnsi="Adwaita Sans"/>
          <w:b/>
          <w:bCs/>
          <w:sz w:val="26"/>
          <w:szCs w:val="26"/>
          <w:lang w:val="en-US" w:eastAsia="en-US" w:bidi="ar-SA"/>
        </w:rPr>
      </w:r>
    </w:p>
    <w:p>
      <w:pPr>
        <w:pStyle w:val="BodyText"/>
        <w:spacing w:lineRule="auto" w:line="240" w:before="0" w:after="0"/>
        <w:ind w:hanging="0" w:start="0" w:end="0"/>
        <w:jc w:val="both"/>
        <w:rPr>
          <w:rFonts w:ascii="Adwaita Sans" w:hAnsi="Adwaita Sans"/>
          <w:b/>
          <w:bCs/>
          <w:sz w:val="26"/>
          <w:szCs w:val="26"/>
          <w:lang w:val="en-US" w:eastAsia="en-US" w:bidi="ar-SA"/>
        </w:rPr>
      </w:pPr>
      <w:r>
        <w:rPr>
          <w:rFonts w:ascii="Adwaita Sans" w:hAnsi="Adwaita Sans"/>
          <w:b/>
          <w:bCs/>
          <w:sz w:val="26"/>
          <w:szCs w:val="26"/>
          <w:lang w:val="en-US" w:eastAsia="en-US" w:bidi="ar-SA"/>
        </w:rPr>
        <w:t>2. Obligations of the Editorial Committee</w:t>
      </w:r>
    </w:p>
    <w:p>
      <w:pPr>
        <w:pStyle w:val="BodyText"/>
        <w:spacing w:lineRule="auto" w:line="240" w:before="0" w:after="0"/>
        <w:ind w:hanging="0" w:start="0" w:end="0"/>
        <w:jc w:val="both"/>
        <w:rPr>
          <w:rFonts w:ascii="Adwaita Sans" w:hAnsi="Adwaita Sans"/>
          <w:sz w:val="22"/>
          <w:szCs w:val="22"/>
          <w:lang w:val="en-US" w:eastAsia="en-US" w:bidi="ar-SA"/>
        </w:rPr>
      </w:pPr>
      <w:r>
        <w:rPr>
          <w:rFonts w:ascii="Adwaita Sans" w:hAnsi="Adwaita Sans"/>
          <w:sz w:val="22"/>
          <w:szCs w:val="22"/>
          <w:lang w:val="en-US" w:eastAsia="en-US" w:bidi="ar-SA"/>
        </w:rPr>
      </w:r>
    </w:p>
    <w:p>
      <w:pPr>
        <w:sectPr>
          <w:type w:val="continuous"/>
          <w:pgSz w:w="12240" w:h="15840"/>
          <w:pgMar w:left="1701" w:right="1701" w:gutter="0" w:header="792" w:top="1498" w:footer="792" w:bottom="1498"/>
          <w:formProt w:val="false"/>
          <w:textDirection w:val="lrTb"/>
          <w:docGrid w:type="default" w:linePitch="360" w:charSpace="0"/>
        </w:sectPr>
      </w:pPr>
    </w:p>
    <w:p>
      <w:pPr>
        <w:pStyle w:val="BodyText"/>
        <w:spacing w:lineRule="auto" w:line="240"/>
        <w:ind w:hanging="0" w:start="0" w:end="0"/>
        <w:jc w:val="both"/>
        <w:rPr>
          <w:rFonts w:ascii="Adwaita Sans" w:hAnsi="Adwaita Sans"/>
          <w:sz w:val="22"/>
          <w:szCs w:val="22"/>
          <w:lang w:val="en-US" w:eastAsia="en-US" w:bidi="ar-SA"/>
        </w:rPr>
      </w:pPr>
      <w:r>
        <w:rPr>
          <w:rFonts w:ascii="Adwaita Sans" w:hAnsi="Adwaita Sans"/>
          <w:sz w:val="22"/>
          <w:szCs w:val="22"/>
          <w:lang w:val="en-US" w:eastAsia="en-US" w:bidi="ar-SA"/>
        </w:rPr>
        <w:t>The Editor-in-Chief shall periodically convene the Editorial Committee to review the journal's editorial criteria and ensure compliance with universal ethical principles in published articles.</w:t>
      </w:r>
    </w:p>
    <w:p>
      <w:pPr>
        <w:pStyle w:val="BodyText"/>
        <w:spacing w:lineRule="auto" w:line="240"/>
        <w:ind w:hanging="0" w:start="0" w:end="0"/>
        <w:jc w:val="both"/>
        <w:rPr/>
      </w:pPr>
      <w:r>
        <w:rPr>
          <w:rStyle w:val="Strong"/>
          <w:rFonts w:ascii="Adwaita Sans" w:hAnsi="Adwaita Sans"/>
          <w:sz w:val="22"/>
          <w:szCs w:val="22"/>
          <w:lang w:val="en-US" w:eastAsia="en-US" w:bidi="ar-SA"/>
        </w:rPr>
        <w:t>2.1 Article selection.</w:t>
      </w:r>
      <w:r>
        <w:rPr>
          <w:rFonts w:ascii="Adwaita Sans" w:hAnsi="Adwaita Sans"/>
          <w:sz w:val="22"/>
          <w:szCs w:val="22"/>
          <w:lang w:val="en-US" w:eastAsia="en-US" w:bidi="ar-SA"/>
        </w:rPr>
        <w:t xml:space="preserve"> </w:t>
      </w:r>
      <w:r>
        <w:rPr>
          <w:rFonts w:ascii="Adwaita Sans" w:hAnsi="Adwaita Sans"/>
          <w:lang w:val="en-US" w:eastAsia="en-US" w:bidi="ar-SA"/>
        </w:rPr>
        <w:t>In the case of plagiarism or fraudulent information the Editor-in-Chief will be guided by the publication policies of the journal, in order to maintain the quality of the journal, ensuring compliance with universal ethical principles in published articles. Likewise, the Editor-in-Chief may seek advice from the Editorial Committee.</w:t>
      </w:r>
    </w:p>
    <w:p>
      <w:pPr>
        <w:pStyle w:val="BodyText"/>
        <w:spacing w:lineRule="auto" w:line="240"/>
        <w:jc w:val="both"/>
        <w:rPr/>
      </w:pPr>
      <w:r>
        <w:rPr>
          <w:rStyle w:val="Strong"/>
          <w:rFonts w:ascii="Adwaita Sans" w:hAnsi="Adwaita Sans"/>
          <w:sz w:val="22"/>
          <w:szCs w:val="22"/>
          <w:lang w:val="en-US" w:eastAsia="en-US" w:bidi="ar-SA"/>
        </w:rPr>
        <w:t>2.2 Revision of articles.</w:t>
      </w:r>
      <w:r>
        <w:rPr>
          <w:rFonts w:ascii="Adwaita Sans" w:hAnsi="Adwaita Sans"/>
          <w:sz w:val="22"/>
          <w:szCs w:val="22"/>
          <w:lang w:val="en-US" w:eastAsia="en-US" w:bidi="ar-SA"/>
        </w:rPr>
        <w:t xml:space="preserve"> </w:t>
      </w:r>
      <w:r>
        <w:rPr>
          <w:rFonts w:ascii="Adwaita Sans" w:hAnsi="Adwaita Sans"/>
          <w:lang w:val="en-US" w:eastAsia="en-US" w:bidi="ar-SA"/>
        </w:rPr>
        <w:t>Ensure the confidentiality of authors and reviewers, guaranteeing compliance with the double-blind method. Follow up on evaluators’ comments to prevent overly rigorous or offensive evaluations of the authors. They may also propose modifications to the articles, based on the comments of the evaluators, or directives. It should be noted an article that they could rejected without submitting it to peer review if it does not meet the guidelines dictated by the directive or is incomplete.</w:t>
      </w:r>
    </w:p>
    <w:p>
      <w:pPr>
        <w:pStyle w:val="BodyText"/>
        <w:spacing w:lineRule="auto" w:line="240"/>
        <w:jc w:val="both"/>
        <w:rPr/>
      </w:pPr>
      <w:r>
        <w:rPr>
          <w:rStyle w:val="Strong"/>
          <w:rFonts w:ascii="Adwaita Sans" w:hAnsi="Adwaita Sans"/>
          <w:sz w:val="22"/>
          <w:szCs w:val="22"/>
          <w:lang w:val="en-US" w:eastAsia="en-US" w:bidi="ar-SA"/>
        </w:rPr>
        <w:t>2.3 Conflict of interest.</w:t>
      </w:r>
      <w:r>
        <w:rPr>
          <w:rFonts w:ascii="Adwaita Sans" w:hAnsi="Adwaita Sans"/>
          <w:sz w:val="22"/>
          <w:szCs w:val="22"/>
          <w:lang w:val="en-US" w:eastAsia="en-US" w:bidi="ar-SA"/>
        </w:rPr>
        <w:t xml:space="preserve"> </w:t>
      </w:r>
      <w:r>
        <w:rPr>
          <w:rFonts w:ascii="Adwaita Sans" w:hAnsi="Adwaita Sans"/>
          <w:lang w:val="en-US" w:eastAsia="en-US" w:bidi="ar-SA"/>
        </w:rPr>
        <w:t>The Editor and members of the Editorial Committee will refrain from participating in evaluations, publishing, and any editorial process that includes articles with which they may have a conflict of interest due to their academic relationship, or affiliation, with any of the authors. Confidentiality is maintained before any clarifications, claims, or complaints that the author(s) may wish to submit to the journal's Editor-in-Chief or Editorial Committee of the Journal.</w:t>
      </w:r>
    </w:p>
    <w:p>
      <w:pPr>
        <w:pStyle w:val="BodyText"/>
        <w:spacing w:lineRule="auto" w:line="240"/>
        <w:jc w:val="both"/>
        <w:rPr/>
      </w:pPr>
      <w:r>
        <w:rPr>
          <w:rStyle w:val="Strong"/>
          <w:rFonts w:ascii="Adwaita Sans" w:hAnsi="Adwaita Sans"/>
          <w:sz w:val="22"/>
          <w:szCs w:val="22"/>
          <w:lang w:val="en-US" w:eastAsia="en-US" w:bidi="ar-SA"/>
        </w:rPr>
        <w:t>2.4 Additional contributions from the Editorial Committee.</w:t>
      </w:r>
      <w:r>
        <w:rPr>
          <w:rFonts w:ascii="Adwaita Sans" w:hAnsi="Adwaita Sans"/>
          <w:sz w:val="22"/>
          <w:szCs w:val="22"/>
          <w:lang w:val="en-US" w:eastAsia="en-US" w:bidi="ar-SA"/>
        </w:rPr>
        <w:t xml:space="preserve"> </w:t>
      </w:r>
      <w:r>
        <w:rPr>
          <w:rFonts w:ascii="Adwaita Sans" w:hAnsi="Adwaita Sans"/>
          <w:lang w:val="en-US" w:eastAsia="en-US" w:bidi="ar-SA"/>
        </w:rPr>
        <w:t>Members of the Editorial Committee may suggest to the Editor-in-Chief that the Journal be submitted to databases, repositories, and impact indexes. They may also suggest that teachers, university researchers, and scientific societies participate as reviewers for the Journal.</w:t>
      </w:r>
    </w:p>
    <w:p>
      <w:pPr>
        <w:sectPr>
          <w:type w:val="continuous"/>
          <w:pgSz w:w="12240" w:h="15840"/>
          <w:pgMar w:left="1701" w:right="1701" w:gutter="0" w:header="792" w:top="1498" w:footer="792" w:bottom="1498"/>
          <w:formProt w:val="false"/>
          <w:textDirection w:val="lrTb"/>
          <w:docGrid w:type="default" w:linePitch="360" w:charSpace="0"/>
        </w:sectPr>
      </w:pPr>
    </w:p>
    <w:p>
      <w:pPr>
        <w:pStyle w:val="BodyText"/>
        <w:spacing w:lineRule="auto" w:line="240" w:before="0" w:after="0"/>
        <w:ind w:hanging="0" w:start="0" w:end="0"/>
        <w:jc w:val="both"/>
        <w:rPr>
          <w:rFonts w:ascii="Adwaita Sans" w:hAnsi="Adwaita Sans"/>
          <w:b/>
          <w:bCs/>
          <w:sz w:val="26"/>
          <w:szCs w:val="26"/>
          <w:lang w:val="en-US" w:eastAsia="en-US" w:bidi="ar-SA"/>
        </w:rPr>
      </w:pPr>
      <w:r>
        <w:rPr>
          <w:rFonts w:ascii="Adwaita Sans" w:hAnsi="Adwaita Sans"/>
          <w:b/>
          <w:bCs/>
          <w:sz w:val="26"/>
          <w:szCs w:val="26"/>
          <w:lang w:val="en-US" w:eastAsia="en-US" w:bidi="ar-SA"/>
        </w:rPr>
      </w:r>
    </w:p>
    <w:p>
      <w:pPr>
        <w:pStyle w:val="BodyText"/>
        <w:spacing w:lineRule="auto" w:line="240" w:before="0" w:after="0"/>
        <w:ind w:hanging="0" w:start="0" w:end="0"/>
        <w:jc w:val="both"/>
        <w:rPr>
          <w:rFonts w:ascii="Adwaita Sans" w:hAnsi="Adwaita Sans"/>
          <w:lang w:val="en-US" w:eastAsia="en-US" w:bidi="ar-SA"/>
        </w:rPr>
      </w:pPr>
      <w:r>
        <w:rPr>
          <w:rFonts w:ascii="Adwaita Sans" w:hAnsi="Adwaita Sans"/>
          <w:b/>
          <w:bCs/>
          <w:sz w:val="26"/>
          <w:szCs w:val="26"/>
          <w:lang w:val="en-US" w:eastAsia="en-US" w:bidi="ar-SA"/>
        </w:rPr>
        <w:t>3. Obligations of the evaluators</w:t>
      </w:r>
    </w:p>
    <w:p>
      <w:pPr>
        <w:pStyle w:val="BodyText"/>
        <w:spacing w:lineRule="auto" w:line="240" w:before="0" w:after="0"/>
        <w:ind w:hanging="0" w:start="0" w:end="0"/>
        <w:jc w:val="both"/>
        <w:rPr>
          <w:rFonts w:ascii="Adwaita Sans" w:hAnsi="Adwaita Sans"/>
          <w:b/>
          <w:bCs/>
          <w:sz w:val="26"/>
          <w:szCs w:val="26"/>
          <w:lang w:val="en-US" w:eastAsia="en-US" w:bidi="ar-SA"/>
        </w:rPr>
      </w:pPr>
      <w:r>
        <w:rPr>
          <w:rFonts w:ascii="Adwaita Sans" w:hAnsi="Adwaita Sans"/>
          <w:b/>
          <w:bCs/>
          <w:sz w:val="26"/>
          <w:szCs w:val="26"/>
          <w:lang w:val="en-US" w:eastAsia="en-US" w:bidi="ar-SA"/>
        </w:rPr>
      </w:r>
    </w:p>
    <w:p>
      <w:pPr>
        <w:sectPr>
          <w:type w:val="continuous"/>
          <w:pgSz w:w="12240" w:h="15840"/>
          <w:pgMar w:left="1701" w:right="1701" w:gutter="0" w:header="792" w:top="1498" w:footer="792" w:bottom="1498"/>
          <w:formProt w:val="false"/>
          <w:textDirection w:val="lrTb"/>
          <w:docGrid w:type="default" w:linePitch="360" w:charSpace="0"/>
        </w:sectPr>
      </w:pPr>
    </w:p>
    <w:p>
      <w:pPr>
        <w:pStyle w:val="BodyText"/>
        <w:spacing w:lineRule="auto" w:line="240"/>
        <w:ind w:hanging="0" w:start="0" w:end="0"/>
        <w:jc w:val="both"/>
        <w:rPr/>
      </w:pPr>
      <w:r>
        <w:rPr>
          <w:rStyle w:val="Strong"/>
          <w:rFonts w:ascii="Adwaita Sans" w:hAnsi="Adwaita Sans"/>
          <w:sz w:val="22"/>
          <w:szCs w:val="22"/>
          <w:lang w:val="en-US" w:eastAsia="en-US" w:bidi="ar-SA"/>
        </w:rPr>
        <w:t>3.1 Contributions to article selection agreements.</w:t>
      </w:r>
      <w:r>
        <w:rPr>
          <w:rFonts w:ascii="Adwaita Sans" w:hAnsi="Adwaita Sans"/>
          <w:sz w:val="22"/>
          <w:szCs w:val="22"/>
          <w:lang w:val="en-US" w:eastAsia="en-US" w:bidi="ar-SA"/>
        </w:rPr>
        <w:t xml:space="preserve"> </w:t>
      </w:r>
      <w:r>
        <w:rPr>
          <w:rFonts w:ascii="Adwaita Sans" w:hAnsi="Adwaita Sans"/>
          <w:lang w:val="en-US" w:eastAsia="en-US" w:bidi="ar-SA"/>
        </w:rPr>
        <w:t>The evaluators will provide significant input in selecting articles, and may also assist the author(s) in improving their work.</w:t>
      </w:r>
    </w:p>
    <w:p>
      <w:pPr>
        <w:pStyle w:val="BodyText"/>
        <w:spacing w:lineRule="auto" w:line="240"/>
        <w:jc w:val="both"/>
        <w:rPr/>
      </w:pPr>
      <w:r>
        <w:rPr>
          <w:rStyle w:val="Strong"/>
          <w:rFonts w:ascii="Adwaita Sans" w:hAnsi="Adwaita Sans"/>
          <w:sz w:val="22"/>
          <w:szCs w:val="22"/>
          <w:lang w:val="en-US" w:eastAsia="en-US" w:bidi="ar-SA"/>
        </w:rPr>
        <w:t>3.2 Availability.</w:t>
      </w:r>
      <w:r>
        <w:rPr>
          <w:rFonts w:ascii="Adwaita Sans" w:hAnsi="Adwaita Sans"/>
          <w:sz w:val="22"/>
          <w:szCs w:val="22"/>
          <w:lang w:val="en-US" w:eastAsia="en-US" w:bidi="ar-SA"/>
        </w:rPr>
        <w:t xml:space="preserve"> </w:t>
      </w:r>
      <w:r>
        <w:rPr>
          <w:rFonts w:ascii="Adwaita Sans" w:hAnsi="Adwaita Sans"/>
          <w:lang w:val="en-US" w:eastAsia="en-US" w:bidi="ar-SA"/>
        </w:rPr>
        <w:t>Evaluators who do not feel capable of revising the article, or who cannot do it within the established time must inform the journal, with reasonable time to assign the article to alternative evaluators.</w:t>
      </w:r>
    </w:p>
    <w:p>
      <w:pPr>
        <w:pStyle w:val="BodyText"/>
        <w:spacing w:lineRule="auto" w:line="240"/>
        <w:jc w:val="both"/>
        <w:rPr/>
      </w:pPr>
      <w:r>
        <w:rPr>
          <w:rStyle w:val="Strong"/>
          <w:rFonts w:ascii="Adwaita Sans" w:hAnsi="Adwaita Sans"/>
          <w:sz w:val="22"/>
          <w:szCs w:val="22"/>
          <w:lang w:val="en-US" w:eastAsia="en-US" w:bidi="ar-SA"/>
        </w:rPr>
        <w:t>3.3 Conflict of interest.</w:t>
      </w:r>
      <w:r>
        <w:rPr>
          <w:rFonts w:ascii="Adwaita Sans" w:hAnsi="Adwaita Sans"/>
          <w:sz w:val="22"/>
          <w:szCs w:val="22"/>
          <w:lang w:val="en-US" w:eastAsia="en-US" w:bidi="ar-SA"/>
        </w:rPr>
        <w:t xml:space="preserve"> </w:t>
      </w:r>
      <w:r>
        <w:rPr>
          <w:rFonts w:ascii="Adwaita Sans" w:hAnsi="Adwaita Sans"/>
          <w:lang w:val="en-US" w:eastAsia="en-US" w:bidi="ar-SA"/>
        </w:rPr>
        <w:t>The evaluators are not permitted to disclose any direct or indirect information of the article under consideration.</w:t>
      </w:r>
    </w:p>
    <w:p>
      <w:pPr>
        <w:sectPr>
          <w:type w:val="continuous"/>
          <w:pgSz w:w="12240" w:h="15840"/>
          <w:pgMar w:left="1701" w:right="1701" w:gutter="0" w:header="792" w:top="1498" w:footer="792" w:bottom="1498"/>
          <w:formProt w:val="false"/>
          <w:textDirection w:val="lrTb"/>
          <w:docGrid w:type="default" w:linePitch="360" w:charSpace="0"/>
        </w:sectPr>
      </w:pPr>
    </w:p>
    <w:p>
      <w:pPr>
        <w:pStyle w:val="BodyText"/>
        <w:spacing w:lineRule="auto" w:line="240" w:before="0" w:after="0"/>
        <w:ind w:hanging="0" w:start="0" w:end="0"/>
        <w:jc w:val="both"/>
        <w:rPr>
          <w:rFonts w:ascii="Adwaita Sans" w:hAnsi="Adwaita Sans"/>
          <w:b/>
          <w:bCs/>
          <w:sz w:val="26"/>
          <w:szCs w:val="26"/>
          <w:lang w:val="en-US" w:eastAsia="en-US" w:bidi="ar-SA"/>
        </w:rPr>
      </w:pPr>
      <w:r>
        <w:rPr>
          <w:rFonts w:ascii="Adwaita Sans" w:hAnsi="Adwaita Sans"/>
          <w:b/>
          <w:bCs/>
          <w:sz w:val="26"/>
          <w:szCs w:val="26"/>
          <w:lang w:val="en-US" w:eastAsia="en-US" w:bidi="ar-SA"/>
        </w:rPr>
      </w:r>
    </w:p>
    <w:p>
      <w:pPr>
        <w:pStyle w:val="BodyText"/>
        <w:spacing w:lineRule="auto" w:line="240" w:before="0" w:after="0"/>
        <w:ind w:hanging="0" w:start="0" w:end="0"/>
        <w:jc w:val="both"/>
        <w:rPr>
          <w:rFonts w:ascii="Adwaita Sans" w:hAnsi="Adwaita Sans"/>
          <w:lang w:val="en-US" w:eastAsia="en-US" w:bidi="ar-SA"/>
        </w:rPr>
      </w:pPr>
      <w:r>
        <w:rPr>
          <w:rFonts w:ascii="Adwaita Sans" w:hAnsi="Adwaita Sans"/>
          <w:b/>
          <w:bCs/>
          <w:sz w:val="26"/>
          <w:szCs w:val="26"/>
          <w:lang w:val="en-US" w:eastAsia="en-US" w:bidi="ar-SA"/>
        </w:rPr>
        <w:t>4. Obligations of the authors</w:t>
      </w:r>
    </w:p>
    <w:p>
      <w:pPr>
        <w:pStyle w:val="BodyText"/>
        <w:spacing w:lineRule="auto" w:line="240" w:before="0" w:after="0"/>
        <w:ind w:hanging="0" w:start="0" w:end="0"/>
        <w:jc w:val="both"/>
        <w:rPr>
          <w:rFonts w:ascii="Adwaita Sans" w:hAnsi="Adwaita Sans"/>
          <w:b/>
          <w:bCs/>
          <w:sz w:val="26"/>
          <w:szCs w:val="26"/>
          <w:lang w:val="en-US" w:eastAsia="en-US" w:bidi="ar-SA"/>
        </w:rPr>
      </w:pPr>
      <w:r>
        <w:rPr>
          <w:rFonts w:ascii="Adwaita Sans" w:hAnsi="Adwaita Sans"/>
          <w:b/>
          <w:bCs/>
          <w:sz w:val="26"/>
          <w:szCs w:val="26"/>
          <w:lang w:val="en-US" w:eastAsia="en-US" w:bidi="ar-SA"/>
        </w:rPr>
      </w:r>
    </w:p>
    <w:p>
      <w:pPr>
        <w:sectPr>
          <w:type w:val="continuous"/>
          <w:pgSz w:w="12240" w:h="15840"/>
          <w:pgMar w:left="1701" w:right="1701" w:gutter="0" w:header="792" w:top="1498" w:footer="792" w:bottom="1498"/>
          <w:formProt w:val="false"/>
          <w:textDirection w:val="lrTb"/>
          <w:docGrid w:type="default" w:linePitch="360" w:charSpace="0"/>
        </w:sectPr>
      </w:pPr>
    </w:p>
    <w:p>
      <w:pPr>
        <w:pStyle w:val="BodyText"/>
        <w:spacing w:lineRule="auto" w:line="240"/>
        <w:ind w:hanging="0" w:start="0" w:end="0"/>
        <w:jc w:val="both"/>
        <w:rPr/>
      </w:pPr>
      <w:r>
        <w:rPr>
          <w:rStyle w:val="Strong"/>
          <w:rFonts w:ascii="Adwaita Sans" w:hAnsi="Adwaita Sans"/>
          <w:sz w:val="22"/>
          <w:szCs w:val="22"/>
          <w:lang w:val="en-US" w:eastAsia="en-US" w:bidi="ar-SA"/>
        </w:rPr>
        <w:t>4.1 Guidelines.</w:t>
      </w:r>
      <w:r>
        <w:rPr>
          <w:rFonts w:ascii="Adwaita Sans" w:hAnsi="Adwaita Sans"/>
          <w:sz w:val="22"/>
          <w:szCs w:val="22"/>
          <w:lang w:val="en-US" w:eastAsia="en-US" w:bidi="ar-SA"/>
        </w:rPr>
        <w:t xml:space="preserve"> </w:t>
      </w:r>
      <w:r>
        <w:rPr>
          <w:rFonts w:ascii="Adwaita Sans" w:hAnsi="Adwaita Sans"/>
          <w:lang w:val="en-US" w:eastAsia="en-US" w:bidi="ar-SA"/>
        </w:rPr>
        <w:t xml:space="preserve">The author(s) must accept the </w:t>
      </w:r>
      <w:r>
        <w:fldChar w:fldCharType="begin"/>
      </w:r>
      <w:r>
        <w:rPr>
          <w:rStyle w:val="Hyperlink"/>
          <w:rFonts w:ascii="Adwaita Sans" w:hAnsi="Adwaita Sans"/>
          <w:lang w:val="en-US" w:eastAsia="en-US" w:bidi="ar-SA"/>
        </w:rPr>
        <w:instrText xml:space="preserve"> HYPERLINK "https://revistas.udenar.edu.co/index.php/usalud/about/submissions" \l "authorGuidelines"</w:instrText>
      </w:r>
      <w:r>
        <w:rPr>
          <w:rStyle w:val="Hyperlink"/>
          <w:rFonts w:ascii="Adwaita Sans" w:hAnsi="Adwaita Sans"/>
          <w:lang w:val="en-US" w:eastAsia="en-US" w:bidi="ar-SA"/>
        </w:rPr>
        <w:fldChar w:fldCharType="separate"/>
      </w:r>
      <w:r>
        <w:rPr>
          <w:rStyle w:val="Hyperlink"/>
          <w:rFonts w:ascii="Adwaita Sans" w:hAnsi="Adwaita Sans"/>
          <w:lang w:val="en-US" w:eastAsia="en-US" w:bidi="ar-SA"/>
        </w:rPr>
        <w:t xml:space="preserve">publication, presentation, and submission guidelines of the articles </w:t>
      </w:r>
      <w:r>
        <w:rPr>
          <w:rStyle w:val="Hyperlink"/>
          <w:rFonts w:ascii="Adwaita Sans" w:hAnsi="Adwaita Sans"/>
          <w:lang w:val="en-US" w:eastAsia="en-US" w:bidi="ar-SA"/>
        </w:rPr>
        <w:fldChar w:fldCharType="end"/>
      </w:r>
      <w:r>
        <w:rPr>
          <w:rFonts w:ascii="Adwaita Sans" w:hAnsi="Adwaita Sans"/>
          <w:lang w:val="en-US" w:eastAsia="en-US" w:bidi="ar-SA"/>
        </w:rPr>
        <w:t>established by the journal on its website</w:t>
      </w:r>
      <w:r>
        <w:rPr>
          <w:rFonts w:ascii="Adwaita Sans" w:hAnsi="Adwaita Sans"/>
          <w:sz w:val="22"/>
          <w:szCs w:val="22"/>
          <w:lang w:val="en-US" w:eastAsia="en-US" w:bidi="ar-SA"/>
        </w:rPr>
        <w:t>.</w:t>
      </w:r>
    </w:p>
    <w:p>
      <w:pPr>
        <w:pStyle w:val="BodyText"/>
        <w:spacing w:lineRule="auto" w:line="240"/>
        <w:jc w:val="both"/>
        <w:rPr/>
      </w:pPr>
      <w:r>
        <w:rPr>
          <w:rStyle w:val="Strong"/>
          <w:rFonts w:ascii="Adwaita Sans" w:hAnsi="Adwaita Sans"/>
          <w:sz w:val="22"/>
          <w:szCs w:val="22"/>
          <w:lang w:val="en-US" w:eastAsia="en-US" w:bidi="ar-SA"/>
        </w:rPr>
        <w:t>4.2 Commitment to the journal.</w:t>
      </w:r>
      <w:r>
        <w:rPr>
          <w:rFonts w:ascii="Adwaita Sans" w:hAnsi="Adwaita Sans"/>
          <w:sz w:val="22"/>
          <w:szCs w:val="22"/>
          <w:lang w:val="en-US" w:eastAsia="en-US" w:bidi="ar-SA"/>
        </w:rPr>
        <w:t xml:space="preserve"> </w:t>
      </w:r>
      <w:r>
        <w:rPr>
          <w:rFonts w:ascii="Adwaita Sans" w:hAnsi="Adwaita Sans"/>
          <w:lang w:val="en-US" w:eastAsia="en-US" w:bidi="ar-SA"/>
        </w:rPr>
        <w:t>The author(s) accept the peer review process using the double-blind method, upon request by the Journal. The author(s) is(are) responsible for the accuracy of the content, and citation of all references to ensure that the article and associated materials are original and with scientific basis and rigor</w:t>
      </w:r>
      <w:r>
        <w:rPr>
          <w:rFonts w:ascii="Adwaita Sans" w:hAnsi="Adwaita Sans"/>
          <w:sz w:val="22"/>
          <w:szCs w:val="22"/>
          <w:lang w:val="en-US" w:eastAsia="en-US" w:bidi="ar-SA"/>
        </w:rPr>
        <w:t>.</w:t>
      </w:r>
    </w:p>
    <w:p>
      <w:pPr>
        <w:pStyle w:val="BodyText"/>
        <w:spacing w:lineRule="auto" w:line="240"/>
        <w:jc w:val="both"/>
        <w:rPr/>
      </w:pPr>
      <w:r>
        <w:rPr>
          <w:rStyle w:val="Strong"/>
          <w:rFonts w:ascii="Adwaita Sans" w:hAnsi="Adwaita Sans"/>
          <w:sz w:val="22"/>
          <w:szCs w:val="22"/>
          <w:lang w:val="en-US" w:eastAsia="en-US" w:bidi="ar-SA"/>
        </w:rPr>
        <w:t>4.3 Originality.</w:t>
      </w:r>
      <w:r>
        <w:rPr>
          <w:rFonts w:ascii="Adwaita Sans" w:hAnsi="Adwaita Sans"/>
          <w:sz w:val="22"/>
          <w:szCs w:val="22"/>
          <w:lang w:val="en-US" w:eastAsia="en-US" w:bidi="ar-SA"/>
        </w:rPr>
        <w:t xml:space="preserve"> </w:t>
      </w:r>
      <w:r>
        <w:rPr>
          <w:rFonts w:ascii="Adwaita Sans" w:hAnsi="Adwaita Sans"/>
          <w:lang w:val="en-US" w:eastAsia="en-US" w:bidi="ar-SA"/>
        </w:rPr>
        <w:t>The author(s) is(are) committed to provide, in writing, original results of a scientific investigation, with the aim of illustrating to readers, fundamental concepts of research in the areas of interest for the journal. The author(s) must accept and respect the standards adopted by the journal</w:t>
      </w:r>
      <w:r>
        <w:rPr>
          <w:rFonts w:ascii="Adwaita Sans" w:hAnsi="Adwaita Sans"/>
          <w:sz w:val="22"/>
          <w:szCs w:val="22"/>
          <w:lang w:val="en-US" w:eastAsia="en-US" w:bidi="ar-SA"/>
        </w:rPr>
        <w:t>.</w:t>
      </w:r>
    </w:p>
    <w:p>
      <w:pPr>
        <w:pStyle w:val="BodyText"/>
        <w:spacing w:lineRule="auto" w:line="240"/>
        <w:jc w:val="both"/>
        <w:rPr/>
      </w:pPr>
      <w:r>
        <w:rPr>
          <w:rStyle w:val="Strong"/>
          <w:rFonts w:ascii="Adwaita Sans" w:hAnsi="Adwaita Sans"/>
          <w:sz w:val="22"/>
          <w:szCs w:val="22"/>
          <w:lang w:val="en-US" w:eastAsia="en-US" w:bidi="ar-SA"/>
        </w:rPr>
        <w:t>4.4 Corrections or errors in an article.</w:t>
      </w:r>
      <w:r>
        <w:rPr>
          <w:rFonts w:ascii="Adwaita Sans" w:hAnsi="Adwaita Sans"/>
          <w:sz w:val="22"/>
          <w:szCs w:val="22"/>
          <w:lang w:val="en-US" w:eastAsia="en-US" w:bidi="ar-SA"/>
        </w:rPr>
        <w:t xml:space="preserve"> </w:t>
      </w:r>
      <w:r>
        <w:rPr>
          <w:rFonts w:ascii="Adwaita Sans" w:hAnsi="Adwaita Sans"/>
          <w:lang w:val="en-US" w:eastAsia="en-US" w:bidi="ar-SA"/>
        </w:rPr>
        <w:t>The author(s) must inform the Editor-in-Chief in the event of an error or inaccuracy in the context of the article published in the journal. If necessary, the author(s) should carry out the correction in the publication, or an apology, as the case may be</w:t>
      </w:r>
      <w:r>
        <w:rPr>
          <w:rFonts w:ascii="Adwaita Sans" w:hAnsi="Adwaita Sans"/>
          <w:sz w:val="22"/>
          <w:szCs w:val="22"/>
          <w:lang w:val="en-US" w:eastAsia="en-US" w:bidi="ar-SA"/>
        </w:rPr>
        <w:t>.</w:t>
      </w:r>
    </w:p>
    <w:p>
      <w:pPr>
        <w:pStyle w:val="BodyText"/>
        <w:spacing w:lineRule="auto" w:line="240"/>
        <w:jc w:val="both"/>
        <w:rPr/>
      </w:pPr>
      <w:r>
        <w:rPr>
          <w:rStyle w:val="Strong"/>
          <w:rFonts w:ascii="Adwaita Sans" w:hAnsi="Adwaita Sans"/>
          <w:sz w:val="22"/>
          <w:szCs w:val="22"/>
          <w:lang w:val="en-US" w:eastAsia="en-US" w:bidi="ar-SA"/>
        </w:rPr>
        <w:t>4.5 Conflict of interest.</w:t>
      </w:r>
      <w:r>
        <w:rPr>
          <w:rFonts w:ascii="Adwaita Sans" w:hAnsi="Adwaita Sans"/>
          <w:sz w:val="22"/>
          <w:szCs w:val="22"/>
          <w:lang w:val="en-US" w:eastAsia="en-US" w:bidi="ar-SA"/>
        </w:rPr>
        <w:t xml:space="preserve"> </w:t>
      </w:r>
      <w:r>
        <w:rPr>
          <w:rFonts w:ascii="Adwaita Sans" w:hAnsi="Adwaita Sans"/>
          <w:lang w:val="en-US" w:eastAsia="en-US" w:bidi="ar-SA"/>
        </w:rPr>
        <w:t>In the article, the author(s) shall publish any acknowledgment to sponsors, either for financial or logistical support provided for the investigation. “Attacking” other authors is unacceptable</w:t>
      </w:r>
      <w:r>
        <w:rPr>
          <w:rFonts w:ascii="Adwaita Sans" w:hAnsi="Adwaita Sans"/>
          <w:sz w:val="22"/>
          <w:szCs w:val="22"/>
          <w:lang w:val="en-US" w:eastAsia="en-US" w:bidi="ar-SA"/>
        </w:rPr>
        <w:t>.</w:t>
      </w:r>
    </w:p>
    <w:p>
      <w:pPr>
        <w:pStyle w:val="BodyText"/>
        <w:spacing w:lineRule="auto" w:line="240"/>
        <w:jc w:val="both"/>
        <w:rPr/>
      </w:pPr>
      <w:r>
        <w:rPr>
          <w:rStyle w:val="Strong"/>
          <w:rFonts w:ascii="Adwaita Sans" w:hAnsi="Adwaita Sans"/>
          <w:sz w:val="22"/>
          <w:szCs w:val="22"/>
          <w:lang w:val="en-US" w:eastAsia="en-US" w:bidi="ar-SA"/>
        </w:rPr>
        <w:t>4.6 Requirements for the Submission of Research Studies.</w:t>
      </w:r>
      <w:r>
        <w:rPr>
          <w:rFonts w:ascii="Adwaita Sans" w:hAnsi="Adwaita Sans"/>
          <w:sz w:val="22"/>
          <w:szCs w:val="22"/>
          <w:lang w:val="en-US" w:eastAsia="en-US" w:bidi="ar-SA"/>
        </w:rPr>
        <w:t xml:space="preserve"> </w:t>
      </w:r>
      <w:r>
        <w:rPr>
          <w:rFonts w:ascii="Adwaita Sans" w:hAnsi="Adwaita Sans"/>
          <w:lang w:val="en-US" w:eastAsia="en-US" w:bidi="ar-SA"/>
        </w:rPr>
        <w:t xml:space="preserve">It is essential to attach a copy of the ethics approval provided by the institution that endorsed the research project. Additionally, the ethical conditions of the study must be specified; for studies involving human populations, it must be indicated whether the ethical standards of the (institutional or regional) committee responsible for overseeing human trials were followed, as well as the </w:t>
      </w:r>
      <w:hyperlink r:id="rId13">
        <w:r>
          <w:rPr>
            <w:rStyle w:val="Hyperlink"/>
            <w:rFonts w:ascii="Adwaita Sans" w:hAnsi="Adwaita Sans"/>
            <w:lang w:val="en-US" w:eastAsia="en-US" w:bidi="ar-SA"/>
          </w:rPr>
          <w:t xml:space="preserve">Declaration of Helsinki </w:t>
        </w:r>
      </w:hyperlink>
      <w:r>
        <w:rPr>
          <w:rFonts w:ascii="Adwaita Sans" w:hAnsi="Adwaita Sans"/>
          <w:lang w:val="en-US" w:eastAsia="en-US" w:bidi="ar-SA"/>
        </w:rPr>
        <w:t>of 1975, amended in 2004 (including the application of informed consent and assent, as applicable)</w:t>
      </w:r>
      <w:r>
        <w:rPr>
          <w:rFonts w:ascii="Adwaita Sans" w:hAnsi="Adwaita Sans"/>
          <w:sz w:val="22"/>
          <w:szCs w:val="22"/>
          <w:lang w:val="en-US" w:eastAsia="en-US" w:bidi="ar-SA"/>
        </w:rPr>
        <w:t>.</w:t>
      </w:r>
    </w:p>
    <w:p>
      <w:pPr>
        <w:pStyle w:val="BodyText"/>
        <w:spacing w:lineRule="auto" w:line="240"/>
        <w:jc w:val="both"/>
        <w:rPr>
          <w:rFonts w:ascii="Adwaita Sans" w:hAnsi="Adwaita Sans"/>
          <w:sz w:val="22"/>
          <w:szCs w:val="22"/>
          <w:lang w:val="en-US" w:eastAsia="en-US" w:bidi="ar-SA"/>
        </w:rPr>
      </w:pPr>
      <w:r>
        <w:rPr>
          <w:rFonts w:ascii="Adwaita Sans" w:hAnsi="Adwaita Sans"/>
          <w:sz w:val="22"/>
          <w:szCs w:val="22"/>
          <w:lang w:val="en-US" w:eastAsia="en-US" w:bidi="ar-SA"/>
        </w:rPr>
        <w:t>For studies involving animals, it must be stated whether the guidelines of the institution or a national research council were followed, or if any national law on the care and use of laboratory animals was considered.</w:t>
      </w:r>
    </w:p>
    <w:p>
      <w:pPr>
        <w:pStyle w:val="BodyText"/>
        <w:spacing w:lineRule="auto" w:line="240"/>
        <w:jc w:val="both"/>
        <w:rPr>
          <w:rFonts w:ascii="Adwaita Sans" w:hAnsi="Adwaita Sans"/>
          <w:sz w:val="22"/>
          <w:szCs w:val="22"/>
          <w:lang w:val="en-US" w:eastAsia="en-US" w:bidi="ar-SA"/>
        </w:rPr>
      </w:pPr>
      <w:r>
        <w:rPr>
          <w:rFonts w:ascii="Adwaita Sans" w:hAnsi="Adwaita Sans"/>
          <w:sz w:val="22"/>
          <w:szCs w:val="22"/>
          <w:lang w:val="en-US" w:eastAsia="en-US" w:bidi="ar-SA"/>
        </w:rPr>
        <w:t xml:space="preserve">The submission of original Colombian research must comply with </w:t>
      </w:r>
      <w:hyperlink r:id="rId14">
        <w:r>
          <w:rPr>
            <w:rStyle w:val="Hyperlink"/>
            <w:rFonts w:ascii="Adwaita Sans" w:hAnsi="Adwaita Sans"/>
            <w:sz w:val="22"/>
            <w:szCs w:val="22"/>
            <w:lang w:val="en-US" w:eastAsia="en-US" w:bidi="ar-SA"/>
          </w:rPr>
          <w:t xml:space="preserve">Resolution 8430 of 1993 </w:t>
        </w:r>
      </w:hyperlink>
      <w:r>
        <w:rPr>
          <w:rFonts w:ascii="Adwaita Sans" w:hAnsi="Adwaita Sans"/>
          <w:sz w:val="22"/>
          <w:szCs w:val="22"/>
          <w:lang w:val="en-US" w:eastAsia="en-US" w:bidi="ar-SA"/>
        </w:rPr>
        <w:t xml:space="preserve">from the Ministry of Social Protection, and research from other countries must adhere to the </w:t>
      </w:r>
      <w:hyperlink r:id="rId15">
        <w:r>
          <w:rPr>
            <w:rStyle w:val="Hyperlink"/>
            <w:rFonts w:ascii="Adwaita Sans" w:hAnsi="Adwaita Sans"/>
            <w:sz w:val="22"/>
            <w:szCs w:val="22"/>
            <w:lang w:val="en-US" w:eastAsia="en-US" w:bidi="ar-SA"/>
          </w:rPr>
          <w:t>Declaration of Helsinki</w:t>
        </w:r>
      </w:hyperlink>
      <w:r>
        <w:rPr>
          <w:rFonts w:ascii="Adwaita Sans" w:hAnsi="Adwaita Sans"/>
          <w:sz w:val="22"/>
          <w:szCs w:val="22"/>
          <w:lang w:val="en-US" w:eastAsia="en-US" w:bidi="ar-SA"/>
        </w:rPr>
        <w:t>.</w:t>
      </w:r>
    </w:p>
    <w:p>
      <w:pPr>
        <w:sectPr>
          <w:type w:val="continuous"/>
          <w:pgSz w:w="12240" w:h="15840"/>
          <w:pgMar w:left="1701" w:right="1701" w:gutter="0" w:header="792" w:top="1498" w:footer="792" w:bottom="1498"/>
          <w:formProt w:val="false"/>
          <w:textDirection w:val="lrTb"/>
          <w:docGrid w:type="default" w:linePitch="360" w:charSpace="0"/>
        </w:sectPr>
      </w:pPr>
    </w:p>
    <w:p>
      <w:pPr>
        <w:pStyle w:val="BodyText"/>
        <w:spacing w:lineRule="auto" w:line="240" w:before="0" w:after="0"/>
        <w:ind w:hanging="0" w:start="0" w:end="0"/>
        <w:jc w:val="both"/>
        <w:rPr>
          <w:rFonts w:ascii="Adwaita Sans" w:hAnsi="Adwaita Sans"/>
          <w:b/>
          <w:bCs/>
          <w:sz w:val="26"/>
          <w:szCs w:val="26"/>
          <w:lang w:val="en-US" w:eastAsia="en-US" w:bidi="ar-SA"/>
        </w:rPr>
      </w:pPr>
      <w:r>
        <w:rPr>
          <w:rFonts w:ascii="Adwaita Sans" w:hAnsi="Adwaita Sans"/>
          <w:b/>
          <w:bCs/>
          <w:sz w:val="26"/>
          <w:szCs w:val="26"/>
          <w:lang w:val="en-US" w:eastAsia="en-US" w:bidi="ar-SA"/>
        </w:rPr>
      </w:r>
    </w:p>
    <w:p>
      <w:pPr>
        <w:pStyle w:val="BodyText"/>
        <w:spacing w:lineRule="auto" w:line="240" w:before="0" w:after="0"/>
        <w:ind w:hanging="0" w:start="0" w:end="0"/>
        <w:jc w:val="both"/>
        <w:rPr>
          <w:rFonts w:ascii="Adwaita Sans" w:hAnsi="Adwaita Sans"/>
          <w:lang w:val="en-US" w:eastAsia="en-US" w:bidi="ar-SA"/>
        </w:rPr>
      </w:pPr>
      <w:r>
        <w:rPr>
          <w:rFonts w:ascii="Adwaita Sans" w:hAnsi="Adwaita Sans"/>
          <w:b/>
          <w:bCs/>
          <w:sz w:val="26"/>
          <w:szCs w:val="26"/>
          <w:lang w:val="en-US" w:eastAsia="en-US" w:bidi="ar-SA"/>
        </w:rPr>
        <w:t>5. Bioethics and human rights statement</w:t>
      </w:r>
    </w:p>
    <w:p>
      <w:pPr>
        <w:pStyle w:val="BodyText"/>
        <w:spacing w:lineRule="auto" w:line="240" w:before="0" w:after="0"/>
        <w:ind w:hanging="0" w:start="0" w:end="0"/>
        <w:jc w:val="both"/>
        <w:rPr>
          <w:rFonts w:ascii="Adwaita Sans" w:hAnsi="Adwaita Sans"/>
          <w:b/>
          <w:bCs/>
          <w:sz w:val="26"/>
          <w:szCs w:val="26"/>
          <w:lang w:val="en-US" w:eastAsia="en-US" w:bidi="ar-SA"/>
        </w:rPr>
      </w:pPr>
      <w:r>
        <w:rPr>
          <w:rFonts w:ascii="Adwaita Sans" w:hAnsi="Adwaita Sans"/>
          <w:b/>
          <w:bCs/>
          <w:sz w:val="26"/>
          <w:szCs w:val="26"/>
          <w:lang w:val="en-US" w:eastAsia="en-US" w:bidi="ar-SA"/>
        </w:rPr>
      </w:r>
    </w:p>
    <w:p>
      <w:pPr>
        <w:sectPr>
          <w:type w:val="continuous"/>
          <w:pgSz w:w="12240" w:h="15840"/>
          <w:pgMar w:left="1701" w:right="1701" w:gutter="0" w:header="792" w:top="1498" w:footer="792" w:bottom="1498"/>
          <w:formProt w:val="false"/>
          <w:textDirection w:val="lrTb"/>
          <w:docGrid w:type="default" w:linePitch="360" w:charSpace="0"/>
        </w:sectPr>
      </w:pPr>
    </w:p>
    <w:p>
      <w:pPr>
        <w:pStyle w:val="BodyText"/>
        <w:spacing w:lineRule="auto" w:line="240"/>
        <w:ind w:hanging="0" w:start="0" w:end="0"/>
        <w:jc w:val="both"/>
        <w:rPr>
          <w:rFonts w:ascii="Adwaita Sans" w:hAnsi="Adwaita Sans"/>
          <w:sz w:val="22"/>
          <w:szCs w:val="22"/>
          <w:lang w:val="en-US" w:eastAsia="en-US" w:bidi="ar-SA"/>
        </w:rPr>
      </w:pPr>
      <w:r>
        <w:rPr>
          <w:rFonts w:ascii="Adwaita Sans" w:hAnsi="Adwaita Sans"/>
          <w:sz w:val="22"/>
          <w:szCs w:val="22"/>
          <w:lang w:val="en-US" w:eastAsia="en-US" w:bidi="ar-SA"/>
        </w:rPr>
        <w:t xml:space="preserve">Regarding research with vulnerable populations, the Journal adheres to the </w:t>
      </w:r>
      <w:hyperlink r:id="rId16">
        <w:r>
          <w:rPr>
            <w:rStyle w:val="Hyperlink"/>
            <w:rFonts w:ascii="Adwaita Sans" w:hAnsi="Adwaita Sans"/>
            <w:sz w:val="22"/>
            <w:szCs w:val="22"/>
            <w:lang w:val="en-US" w:eastAsia="en-US" w:bidi="ar-SA"/>
          </w:rPr>
          <w:t xml:space="preserve">Universal Declaration on Bioethics and Human Rights </w:t>
        </w:r>
      </w:hyperlink>
      <w:r>
        <w:rPr>
          <w:rFonts w:ascii="Adwaita Sans" w:hAnsi="Adwaita Sans"/>
          <w:sz w:val="22"/>
          <w:szCs w:val="22"/>
          <w:lang w:val="en-US" w:eastAsia="en-US" w:bidi="ar-SA"/>
        </w:rPr>
        <w:t>of 2005 by UNESCO, recognizing the ethical issues related to medicine, life sciences, and related technologies applied to human beings, considering their social, legal, and environmental dimensions.</w:t>
      </w:r>
    </w:p>
    <w:p>
      <w:pPr>
        <w:sectPr>
          <w:type w:val="continuous"/>
          <w:pgSz w:w="12240" w:h="15840"/>
          <w:pgMar w:left="1701" w:right="1701" w:gutter="0" w:header="792" w:top="1498" w:footer="792" w:bottom="1498"/>
          <w:formProt w:val="false"/>
          <w:textDirection w:val="lrTb"/>
          <w:docGrid w:type="default" w:linePitch="360" w:charSpace="0"/>
        </w:sectPr>
      </w:pPr>
    </w:p>
    <w:p>
      <w:pPr>
        <w:pStyle w:val="BodyText"/>
        <w:spacing w:lineRule="auto" w:line="240" w:before="0" w:after="0"/>
        <w:ind w:hanging="0" w:start="0" w:end="0"/>
        <w:jc w:val="both"/>
        <w:rPr>
          <w:rFonts w:ascii="Adwaita Sans" w:hAnsi="Adwaita Sans"/>
          <w:b/>
          <w:bCs/>
          <w:sz w:val="26"/>
          <w:szCs w:val="26"/>
          <w:lang w:val="en-US" w:eastAsia="en-US" w:bidi="ar-SA"/>
        </w:rPr>
      </w:pPr>
      <w:r>
        <w:rPr>
          <w:rFonts w:ascii="Adwaita Sans" w:hAnsi="Adwaita Sans"/>
          <w:b/>
          <w:bCs/>
          <w:sz w:val="26"/>
          <w:szCs w:val="26"/>
          <w:lang w:val="en-US" w:eastAsia="en-US" w:bidi="ar-SA"/>
        </w:rPr>
      </w:r>
    </w:p>
    <w:p>
      <w:pPr>
        <w:pStyle w:val="BodyText"/>
        <w:spacing w:lineRule="auto" w:line="240" w:before="0" w:after="0"/>
        <w:ind w:hanging="0" w:start="0" w:end="0"/>
        <w:jc w:val="both"/>
        <w:rPr>
          <w:rFonts w:ascii="Adwaita Sans" w:hAnsi="Adwaita Sans"/>
          <w:b/>
          <w:bCs/>
          <w:sz w:val="26"/>
          <w:szCs w:val="26"/>
          <w:lang w:val="en-US" w:eastAsia="en-US" w:bidi="ar-SA"/>
        </w:rPr>
      </w:pPr>
      <w:r>
        <w:rPr>
          <w:rFonts w:ascii="Adwaita Sans" w:hAnsi="Adwaita Sans"/>
          <w:b/>
          <w:bCs/>
          <w:sz w:val="26"/>
          <w:szCs w:val="26"/>
          <w:lang w:val="en-US" w:eastAsia="en-US" w:bidi="ar-SA"/>
        </w:rPr>
        <w:t>6. Dealing with research malpractice</w:t>
      </w:r>
    </w:p>
    <w:p>
      <w:pPr>
        <w:pStyle w:val="BodyText"/>
        <w:spacing w:lineRule="auto" w:line="240" w:before="0" w:after="0"/>
        <w:ind w:hanging="0" w:start="0" w:end="0"/>
        <w:jc w:val="both"/>
        <w:rPr>
          <w:rFonts w:ascii="Adwaita Sans" w:hAnsi="Adwaita Sans"/>
          <w:b/>
          <w:bCs/>
          <w:sz w:val="26"/>
          <w:szCs w:val="26"/>
          <w:lang w:val="en-US" w:eastAsia="en-US" w:bidi="ar-SA"/>
        </w:rPr>
      </w:pPr>
      <w:r>
        <w:rPr>
          <w:rFonts w:ascii="Adwaita Sans" w:hAnsi="Adwaita Sans"/>
          <w:b/>
          <w:bCs/>
          <w:sz w:val="26"/>
          <w:szCs w:val="26"/>
          <w:lang w:val="en-US" w:eastAsia="en-US" w:bidi="ar-SA"/>
        </w:rPr>
      </w:r>
    </w:p>
    <w:p>
      <w:pPr>
        <w:sectPr>
          <w:type w:val="continuous"/>
          <w:pgSz w:w="12240" w:h="15840"/>
          <w:pgMar w:left="1701" w:right="1701" w:gutter="0" w:header="792" w:top="1498" w:footer="792" w:bottom="1498"/>
          <w:formProt w:val="false"/>
          <w:textDirection w:val="lrTb"/>
          <w:docGrid w:type="default" w:linePitch="360" w:charSpace="0"/>
        </w:sectPr>
      </w:pPr>
    </w:p>
    <w:p>
      <w:pPr>
        <w:pStyle w:val="BodyText"/>
        <w:spacing w:lineRule="auto" w:line="240"/>
        <w:ind w:hanging="0" w:start="0" w:end="0"/>
        <w:jc w:val="both"/>
        <w:rPr>
          <w:rFonts w:ascii="Adwaita Sans" w:hAnsi="Adwaita Sans"/>
          <w:sz w:val="22"/>
          <w:szCs w:val="22"/>
          <w:lang w:val="en-US" w:eastAsia="en-US" w:bidi="ar-SA"/>
        </w:rPr>
      </w:pPr>
      <w:r>
        <w:rPr>
          <w:rFonts w:ascii="Adwaita Sans" w:hAnsi="Adwaita Sans"/>
          <w:sz w:val="22"/>
          <w:szCs w:val="22"/>
          <w:lang w:val="en-US" w:eastAsia="en-US" w:bidi="ar-SA"/>
        </w:rPr>
        <w:t>If the editorial team identifies findings related to research misconduct, the institutions of the respective authors will be informed, considering the following aspects:</w:t>
      </w:r>
    </w:p>
    <w:p>
      <w:pPr>
        <w:pStyle w:val="BodyText"/>
        <w:numPr>
          <w:ilvl w:val="0"/>
          <w:numId w:val="2"/>
        </w:numPr>
        <w:tabs>
          <w:tab w:val="clear" w:pos="708"/>
          <w:tab w:val="left" w:pos="0" w:leader="none"/>
        </w:tabs>
        <w:spacing w:lineRule="auto" w:line="240" w:before="0" w:after="0"/>
        <w:jc w:val="both"/>
        <w:rPr>
          <w:rFonts w:ascii="Adwaita Sans" w:hAnsi="Adwaita Sans"/>
          <w:sz w:val="22"/>
          <w:szCs w:val="22"/>
          <w:lang w:val="en-US" w:eastAsia="en-US" w:bidi="ar-SA"/>
        </w:rPr>
      </w:pPr>
      <w:r>
        <w:rPr>
          <w:rFonts w:ascii="Adwaita Sans" w:hAnsi="Adwaita Sans"/>
          <w:sz w:val="22"/>
          <w:szCs w:val="22"/>
          <w:lang w:val="en-US" w:eastAsia="en-US" w:bidi="ar-SA"/>
        </w:rPr>
        <w:t xml:space="preserve">Plagiarism, </w:t>
      </w:r>
      <w:r>
        <w:fldChar w:fldCharType="begin"/>
      </w:r>
      <w:r>
        <w:rPr>
          <w:rStyle w:val="Hyperlink"/>
          <w:rFonts w:ascii="Adwaita Sans" w:hAnsi="Adwaita Sans"/>
          <w:sz w:val="22"/>
          <w:szCs w:val="22"/>
          <w:lang w:val="en-US" w:eastAsia="en-US" w:bidi="ar-SA"/>
        </w:rPr>
        <w:instrText xml:space="preserve"> HYPERLINK "https://revistas.udenar.edu.co/index.php/usalud/about" \l "anti-plagiarism-policy"</w:instrText>
      </w:r>
      <w:r>
        <w:rPr>
          <w:rStyle w:val="Hyperlink"/>
          <w:rFonts w:ascii="Adwaita Sans" w:hAnsi="Adwaita Sans"/>
          <w:sz w:val="22"/>
          <w:szCs w:val="22"/>
          <w:lang w:val="en-US" w:eastAsia="en-US" w:bidi="ar-SA"/>
        </w:rPr>
        <w:fldChar w:fldCharType="separate"/>
      </w:r>
      <w:r>
        <w:rPr>
          <w:rStyle w:val="Hyperlink"/>
          <w:rFonts w:ascii="Adwaita Sans" w:hAnsi="Adwaita Sans"/>
          <w:sz w:val="22"/>
          <w:szCs w:val="22"/>
          <w:lang w:val="en-US" w:eastAsia="en-US" w:bidi="ar-SA"/>
        </w:rPr>
        <w:t>see anti-plagiarism policy</w:t>
      </w:r>
      <w:r>
        <w:rPr>
          <w:rStyle w:val="Hyperlink"/>
          <w:rFonts w:ascii="Adwaita Sans" w:hAnsi="Adwaita Sans"/>
          <w:sz w:val="22"/>
          <w:szCs w:val="22"/>
          <w:lang w:val="en-US" w:eastAsia="en-US" w:bidi="ar-SA"/>
        </w:rPr>
        <w:fldChar w:fldCharType="end"/>
      </w:r>
      <w:r>
        <w:rPr>
          <w:rFonts w:ascii="Adwaita Sans" w:hAnsi="Adwaita Sans"/>
          <w:sz w:val="22"/>
          <w:szCs w:val="22"/>
          <w:lang w:val="en-US" w:eastAsia="en-US" w:bidi="ar-SA"/>
        </w:rPr>
        <w:t xml:space="preserve">]. </w:t>
      </w:r>
    </w:p>
    <w:p>
      <w:pPr>
        <w:pStyle w:val="BodyText"/>
        <w:numPr>
          <w:ilvl w:val="0"/>
          <w:numId w:val="2"/>
        </w:numPr>
        <w:tabs>
          <w:tab w:val="clear" w:pos="708"/>
          <w:tab w:val="left" w:pos="0" w:leader="none"/>
        </w:tabs>
        <w:spacing w:lineRule="auto" w:line="240" w:before="0" w:after="0"/>
        <w:jc w:val="both"/>
        <w:rPr>
          <w:rFonts w:ascii="Adwaita Sans" w:hAnsi="Adwaita Sans"/>
          <w:lang w:val="en-US"/>
        </w:rPr>
      </w:pPr>
      <w:r>
        <w:rPr>
          <w:rFonts w:ascii="Adwaita Sans" w:hAnsi="Adwaita Sans"/>
          <w:lang w:val="en-US" w:eastAsia="en-US" w:bidi="ar-SA"/>
        </w:rPr>
        <w:t xml:space="preserve">Improper use of AI, </w:t>
      </w:r>
      <w:r>
        <w:fldChar w:fldCharType="begin"/>
      </w:r>
      <w:r>
        <w:rPr>
          <w:rStyle w:val="Hyperlink"/>
          <w:rFonts w:ascii="Adwaita Sans" w:hAnsi="Adwaita Sans"/>
          <w:lang w:val="en-US" w:eastAsia="en-US" w:bidi="ar-SA"/>
        </w:rPr>
        <w:instrText xml:space="preserve"> HYPERLINK "https://revistas.udenar.edu.co/index.php/usalud/about/submissions" \l "artificial-intelligence-usage-policy"</w:instrText>
      </w:r>
      <w:r>
        <w:rPr>
          <w:rStyle w:val="Hyperlink"/>
          <w:rFonts w:ascii="Adwaita Sans" w:hAnsi="Adwaita Sans"/>
          <w:lang w:val="en-US" w:eastAsia="en-US" w:bidi="ar-SA"/>
        </w:rPr>
        <w:fldChar w:fldCharType="separate"/>
      </w:r>
      <w:r>
        <w:rPr>
          <w:rStyle w:val="Hyperlink"/>
          <w:rFonts w:ascii="Adwaita Sans" w:hAnsi="Adwaita Sans"/>
          <w:lang w:val="en-US" w:eastAsia="en-US" w:bidi="ar-SA"/>
        </w:rPr>
        <w:t>see AI usage policy</w:t>
      </w:r>
      <w:r>
        <w:rPr>
          <w:rStyle w:val="Hyperlink"/>
          <w:rFonts w:ascii="Adwaita Sans" w:hAnsi="Adwaita Sans"/>
          <w:lang w:val="en-US" w:eastAsia="en-US" w:bidi="ar-SA"/>
        </w:rPr>
        <w:fldChar w:fldCharType="end"/>
      </w:r>
      <w:r>
        <w:rPr>
          <w:rFonts w:ascii="Adwaita Sans" w:hAnsi="Adwaita Sans"/>
          <w:lang w:val="en-US" w:eastAsia="en-US" w:bidi="ar-SA"/>
        </w:rPr>
        <w:t>.</w:t>
      </w:r>
    </w:p>
    <w:p>
      <w:pPr>
        <w:sectPr>
          <w:type w:val="continuous"/>
          <w:pgSz w:w="12240" w:h="15840"/>
          <w:pgMar w:left="1701" w:right="1701" w:gutter="0" w:header="792" w:top="1498" w:footer="792" w:bottom="1498"/>
          <w:formProt w:val="false"/>
          <w:textDirection w:val="lrTb"/>
          <w:docGrid w:type="default" w:linePitch="360" w:charSpace="0"/>
        </w:sectPr>
      </w:pPr>
    </w:p>
    <w:p>
      <w:pPr>
        <w:pStyle w:val="BodyText"/>
        <w:spacing w:lineRule="auto" w:line="240" w:before="0" w:after="0"/>
        <w:ind w:hanging="0" w:start="0" w:end="0"/>
        <w:jc w:val="both"/>
        <w:rPr>
          <w:rFonts w:ascii="Adwaita Sans" w:hAnsi="Adwaita Sans"/>
          <w:sz w:val="22"/>
          <w:szCs w:val="22"/>
          <w:lang w:val="en-US" w:eastAsia="en-US" w:bidi="ar-SA"/>
        </w:rPr>
      </w:pPr>
      <w:r>
        <w:rPr>
          <w:rFonts w:ascii="Adwaita Sans" w:hAnsi="Adwaita Sans"/>
          <w:sz w:val="22"/>
          <w:szCs w:val="22"/>
          <w:lang w:val="en-US" w:eastAsia="en-US" w:bidi="ar-SA"/>
        </w:rPr>
      </w:r>
    </w:p>
    <w:p>
      <w:pPr>
        <w:pStyle w:val="BodyText"/>
        <w:bidi w:val="0"/>
        <w:spacing w:lineRule="auto" w:line="240" w:before="0" w:after="0"/>
        <w:ind w:hanging="0" w:start="0" w:end="0"/>
        <w:jc w:val="both"/>
        <w:rPr>
          <w:rFonts w:ascii="Adwaita Sans" w:hAnsi="Adwaita Sans"/>
          <w:sz w:val="26"/>
          <w:szCs w:val="26"/>
          <w:lang w:val="en-US" w:eastAsia="en-US" w:bidi="ar-SA"/>
        </w:rPr>
      </w:pPr>
      <w:r>
        <w:rPr>
          <w:rFonts w:ascii="Adwaita Sans" w:hAnsi="Adwaita Sans"/>
          <w:b/>
          <w:bCs/>
          <w:sz w:val="26"/>
          <w:szCs w:val="26"/>
          <w:lang w:val="en-US" w:eastAsia="en-US" w:bidi="ar-SA"/>
        </w:rPr>
        <w:t>7. Withdrawal of Articles</w:t>
      </w:r>
    </w:p>
    <w:p>
      <w:pPr>
        <w:pStyle w:val="BodyText"/>
        <w:spacing w:lineRule="auto" w:line="240" w:before="0" w:after="0"/>
        <w:ind w:hanging="0" w:start="0" w:end="0"/>
        <w:jc w:val="both"/>
        <w:rPr>
          <w:rFonts w:ascii="Adwaita Sans" w:hAnsi="Adwaita Sans"/>
          <w:sz w:val="22"/>
          <w:szCs w:val="22"/>
          <w:lang w:val="en-US" w:eastAsia="en-US" w:bidi="ar-SA"/>
        </w:rPr>
      </w:pPr>
      <w:r>
        <w:rPr>
          <w:rFonts w:ascii="Adwaita Sans" w:hAnsi="Adwaita Sans"/>
          <w:sz w:val="22"/>
          <w:szCs w:val="22"/>
          <w:lang w:val="en-US" w:eastAsia="en-US" w:bidi="ar-SA"/>
        </w:rPr>
      </w:r>
    </w:p>
    <w:p>
      <w:pPr>
        <w:sectPr>
          <w:type w:val="continuous"/>
          <w:pgSz w:w="12240" w:h="15840"/>
          <w:pgMar w:left="1701" w:right="1701" w:gutter="0" w:header="792" w:top="1498" w:footer="792" w:bottom="1498"/>
          <w:formProt w:val="false"/>
          <w:textDirection w:val="lrTb"/>
          <w:docGrid w:type="default" w:linePitch="360" w:charSpace="0"/>
        </w:sectPr>
      </w:pPr>
    </w:p>
    <w:p>
      <w:pPr>
        <w:pStyle w:val="BodyText"/>
        <w:spacing w:lineRule="auto" w:line="240"/>
        <w:ind w:hanging="0" w:start="0" w:end="0"/>
        <w:jc w:val="both"/>
        <w:rPr>
          <w:rFonts w:ascii="Adwaita Sans" w:hAnsi="Adwaita Sans"/>
          <w:sz w:val="22"/>
          <w:szCs w:val="22"/>
          <w:lang w:val="en-US" w:eastAsia="en-US" w:bidi="ar-SA"/>
        </w:rPr>
      </w:pPr>
      <w:r>
        <w:rPr>
          <w:rFonts w:ascii="Adwaita Sans" w:hAnsi="Adwaita Sans"/>
          <w:sz w:val="22"/>
          <w:szCs w:val="22"/>
          <w:lang w:val="en-US" w:eastAsia="en-US" w:bidi="ar-SA"/>
        </w:rPr>
        <w:t>Authors who wish to withdraw their manuscript are encouraged to do so before the end of the peer review phase, as a commitment to the work and effort made by the editorial team and the referee evaluators. The corresponding author must submit the request in writing, signed by all the authors and wait for confirmation of withdrawal by the Editor-in-Chief.</w:t>
      </w:r>
    </w:p>
    <w:p>
      <w:pPr>
        <w:pStyle w:val="BodyText"/>
        <w:spacing w:lineRule="auto" w:line="240"/>
        <w:jc w:val="both"/>
        <w:rPr>
          <w:rFonts w:ascii="Adwaita Sans" w:hAnsi="Adwaita Sans"/>
          <w:sz w:val="22"/>
          <w:szCs w:val="22"/>
          <w:lang w:val="en-US" w:eastAsia="en-US" w:bidi="ar-SA"/>
        </w:rPr>
      </w:pPr>
      <w:r>
        <w:rPr>
          <w:rFonts w:ascii="Adwaita Sans" w:hAnsi="Adwaita Sans"/>
          <w:sz w:val="22"/>
          <w:szCs w:val="22"/>
          <w:lang w:val="en-US" w:eastAsia="en-US" w:bidi="ar-SA"/>
        </w:rPr>
        <w:t>The journal's Editor-in-Chief may reject an article from the editorial or publication process if there is a breach of the editorial ethics established by the journal, based on COPE guidelines. Among which may be:</w:t>
      </w:r>
    </w:p>
    <w:p>
      <w:pPr>
        <w:pStyle w:val="BodyText"/>
        <w:numPr>
          <w:ilvl w:val="0"/>
          <w:numId w:val="3"/>
        </w:numPr>
        <w:tabs>
          <w:tab w:val="clear" w:pos="708"/>
          <w:tab w:val="left" w:pos="0" w:leader="none"/>
        </w:tabs>
        <w:spacing w:lineRule="auto" w:line="240" w:before="0" w:after="0"/>
        <w:jc w:val="both"/>
        <w:rPr>
          <w:rFonts w:ascii="Adwaita Sans" w:hAnsi="Adwaita Sans"/>
          <w:sz w:val="22"/>
          <w:szCs w:val="22"/>
          <w:lang w:val="en-US" w:eastAsia="en-US" w:bidi="ar-SA"/>
        </w:rPr>
      </w:pPr>
      <w:r>
        <w:rPr>
          <w:rFonts w:ascii="Adwaita Sans" w:hAnsi="Adwaita Sans"/>
          <w:sz w:val="22"/>
          <w:szCs w:val="22"/>
          <w:lang w:val="en-US" w:eastAsia="en-US" w:bidi="ar-SA"/>
        </w:rPr>
        <w:t xml:space="preserve">If it is identified that the manuscript submitted to the journal is not original. </w:t>
      </w:r>
    </w:p>
    <w:p>
      <w:pPr>
        <w:pStyle w:val="BodyText"/>
        <w:numPr>
          <w:ilvl w:val="0"/>
          <w:numId w:val="3"/>
        </w:numPr>
        <w:tabs>
          <w:tab w:val="clear" w:pos="708"/>
          <w:tab w:val="left" w:pos="0" w:leader="none"/>
        </w:tabs>
        <w:spacing w:lineRule="auto" w:line="240" w:before="0" w:after="0"/>
        <w:jc w:val="both"/>
        <w:rPr>
          <w:rFonts w:ascii="Adwaita Sans" w:hAnsi="Adwaita Sans"/>
          <w:lang w:val="en-US" w:eastAsia="en-US" w:bidi="ar-SA"/>
        </w:rPr>
      </w:pPr>
      <w:r>
        <w:rPr>
          <w:rFonts w:ascii="Adwaita Sans" w:hAnsi="Adwaita Sans"/>
          <w:lang w:val="en-US" w:eastAsia="en-US" w:bidi="ar-SA"/>
        </w:rPr>
        <w:t xml:space="preserve">If it has been postulated or published partially or totally in another journal, institutional library or preprints database (in the last two cases it should be withdrawn to continue the editorial process). </w:t>
      </w:r>
    </w:p>
    <w:p>
      <w:pPr>
        <w:pStyle w:val="BodyText"/>
        <w:numPr>
          <w:ilvl w:val="0"/>
          <w:numId w:val="3"/>
        </w:numPr>
        <w:tabs>
          <w:tab w:val="clear" w:pos="708"/>
          <w:tab w:val="left" w:pos="0" w:leader="none"/>
        </w:tabs>
        <w:spacing w:lineRule="auto" w:line="240" w:before="0" w:after="0"/>
        <w:jc w:val="both"/>
        <w:rPr>
          <w:rFonts w:ascii="Adwaita Sans" w:hAnsi="Adwaita Sans"/>
          <w:lang w:val="en-US" w:eastAsia="en-US" w:bidi="ar-SA"/>
        </w:rPr>
      </w:pPr>
      <w:r>
        <w:rPr>
          <w:rFonts w:ascii="Adwaita Sans" w:hAnsi="Adwaita Sans"/>
          <w:lang w:val="en-US" w:eastAsia="en-US" w:bidi="ar-SA"/>
        </w:rPr>
        <w:t>If plagiarism is detected.</w:t>
      </w:r>
    </w:p>
    <w:p>
      <w:pPr>
        <w:sectPr>
          <w:type w:val="continuous"/>
          <w:pgSz w:w="12240" w:h="15840"/>
          <w:pgMar w:left="1701" w:right="1701" w:gutter="0" w:header="792" w:top="1498" w:footer="792" w:bottom="1498"/>
          <w:formProt w:val="false"/>
          <w:textDirection w:val="lrTb"/>
          <w:docGrid w:type="default" w:linePitch="360" w:charSpace="0"/>
        </w:sectPr>
      </w:pPr>
    </w:p>
    <w:p>
      <w:pPr>
        <w:pStyle w:val="BodyText"/>
        <w:spacing w:lineRule="auto" w:line="240" w:before="0" w:after="0"/>
        <w:ind w:hanging="0" w:start="0" w:end="0"/>
        <w:jc w:val="both"/>
        <w:rPr>
          <w:rFonts w:ascii="Adwaita Sans" w:hAnsi="Adwaita Sans"/>
          <w:sz w:val="22"/>
          <w:szCs w:val="22"/>
          <w:lang w:val="en-US" w:eastAsia="en-US" w:bidi="ar-SA"/>
        </w:rPr>
      </w:pPr>
      <w:r>
        <w:rPr>
          <w:rFonts w:ascii="Adwaita Sans" w:hAnsi="Adwaita Sans"/>
          <w:sz w:val="22"/>
          <w:szCs w:val="22"/>
          <w:lang w:val="en-US" w:eastAsia="en-US" w:bidi="ar-SA"/>
        </w:rPr>
      </w:r>
    </w:p>
    <w:p>
      <w:pPr>
        <w:pStyle w:val="BodyText"/>
        <w:spacing w:lineRule="auto" w:line="240" w:before="0" w:after="0"/>
        <w:ind w:hanging="0" w:start="0" w:end="0"/>
        <w:jc w:val="both"/>
        <w:rPr>
          <w:rFonts w:ascii="Adwaita Sans" w:hAnsi="Adwaita Sans"/>
          <w:lang w:val="en-US" w:eastAsia="en-US" w:bidi="ar-SA"/>
        </w:rPr>
      </w:pPr>
      <w:r>
        <w:rPr>
          <w:rFonts w:ascii="Adwaita Sans" w:hAnsi="Adwaita Sans"/>
          <w:b/>
          <w:bCs/>
          <w:sz w:val="26"/>
          <w:szCs w:val="26"/>
          <w:lang w:val="en-US" w:eastAsia="en-US" w:bidi="ar-SA"/>
        </w:rPr>
        <w:t>8. Advertising and direct marketing</w:t>
      </w:r>
    </w:p>
    <w:p>
      <w:pPr>
        <w:pStyle w:val="BodyText"/>
        <w:spacing w:lineRule="auto" w:line="240" w:before="0" w:after="0"/>
        <w:ind w:hanging="0" w:start="0" w:end="0"/>
        <w:jc w:val="both"/>
        <w:rPr>
          <w:rFonts w:ascii="Adwaita Sans" w:hAnsi="Adwaita Sans"/>
          <w:sz w:val="22"/>
          <w:szCs w:val="22"/>
          <w:lang w:val="en-US" w:eastAsia="en-US" w:bidi="ar-SA"/>
        </w:rPr>
      </w:pPr>
      <w:r>
        <w:rPr>
          <w:rFonts w:ascii="Adwaita Sans" w:hAnsi="Adwaita Sans"/>
          <w:sz w:val="22"/>
          <w:szCs w:val="22"/>
          <w:lang w:val="en-US" w:eastAsia="en-US" w:bidi="ar-SA"/>
        </w:rPr>
      </w:r>
    </w:p>
    <w:p>
      <w:pPr>
        <w:sectPr>
          <w:type w:val="continuous"/>
          <w:pgSz w:w="12240" w:h="15840"/>
          <w:pgMar w:left="1701" w:right="1701" w:gutter="0" w:header="792" w:top="1498" w:footer="792" w:bottom="1498"/>
          <w:formProt w:val="false"/>
          <w:textDirection w:val="lrTb"/>
          <w:docGrid w:type="default" w:linePitch="360" w:charSpace="0"/>
        </w:sectPr>
      </w:pPr>
    </w:p>
    <w:p>
      <w:pPr>
        <w:pStyle w:val="BodyText"/>
        <w:spacing w:lineRule="auto" w:line="240" w:before="0" w:after="140"/>
        <w:ind w:hanging="0" w:start="0" w:end="0"/>
        <w:jc w:val="both"/>
        <w:rPr>
          <w:rFonts w:ascii="Adwaita Sans" w:hAnsi="Adwaita Sans"/>
          <w:sz w:val="22"/>
          <w:szCs w:val="22"/>
          <w:lang w:val="en-US" w:eastAsia="en-US" w:bidi="ar-SA"/>
        </w:rPr>
      </w:pPr>
      <w:r>
        <w:rPr>
          <w:rStyle w:val="Emphasis"/>
          <w:rFonts w:ascii="Adwaita Sans" w:hAnsi="Adwaita Sans"/>
          <w:sz w:val="22"/>
          <w:szCs w:val="22"/>
          <w:lang w:val="en-US" w:eastAsia="en-US" w:bidi="ar-SA"/>
        </w:rPr>
        <w:t>Universidad y Salud</w:t>
      </w:r>
      <w:r>
        <w:rPr>
          <w:rFonts w:ascii="Adwaita Sans" w:hAnsi="Adwaita Sans"/>
          <w:sz w:val="22"/>
          <w:szCs w:val="22"/>
          <w:lang w:val="en-US" w:eastAsia="en-US" w:bidi="ar-SA"/>
        </w:rPr>
        <w:t xml:space="preserve"> journal has no marketing activity and does not allow commercial advertising on its website.</w:t>
      </w:r>
    </w:p>
    <w:sectPr>
      <w:type w:val="continuous"/>
      <w:pgSz w:w="12240" w:h="15840"/>
      <w:pgMar w:left="1701" w:right="1701" w:gutter="0" w:header="792" w:top="1498" w:footer="792" w:bottom="1498"/>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FreeSerif">
    <w:charset w:val="01" w:characterSet="utf-8"/>
    <w:family w:val="roman"/>
    <w:pitch w:val="variable"/>
  </w:font>
  <w:font w:name="Cambria">
    <w:charset w:val="01" w:characterSet="utf-8"/>
    <w:family w:val="roman"/>
    <w:pitch w:val="variable"/>
  </w:font>
  <w:font w:name="Adwaita Sans">
    <w:charset w:val="01" w:characterSet="utf-8"/>
    <w:family w:val="swiss"/>
    <w:pitch w:val="variable"/>
  </w:font>
  <w:font w:name="OpenSymbol">
    <w:altName w:val="Arial Unicode MS"/>
    <w:charset w:val="01" w:characterSet="utf-8"/>
    <w:family w:val="roman"/>
    <w:pitch w:val="variable"/>
  </w:font>
  <w:font w:name="FreeSans">
    <w:charset w:val="01" w:characterSet="utf-8"/>
    <w:family w:val="swiss"/>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0" distR="0" simplePos="0" relativeHeight="0" behindDoc="1" locked="0" layoutInCell="1" allowOverlap="1">
          <wp:simplePos x="0" y="0"/>
          <wp:positionH relativeFrom="margin">
            <wp:align>center</wp:align>
          </wp:positionH>
          <wp:positionV relativeFrom="margin">
            <wp:align>center</wp:align>
          </wp:positionV>
          <wp:extent cx="5603875" cy="5601335"/>
          <wp:effectExtent l="0" t="0" r="0" b="0"/>
          <wp:wrapNone/>
          <wp:docPr id="1" name="WordPictureWatermark1850865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850865642"/>
                  <pic:cNvPicPr>
                    <a:picLocks noChangeAspect="1" noChangeArrowheads="1"/>
                  </pic:cNvPicPr>
                </pic:nvPicPr>
                <pic:blipFill>
                  <a:blip r:embed="rId1">
                    <a:lum bright="70000" contrast="-70000"/>
                  </a:blip>
                  <a:stretch>
                    <a:fillRect/>
                  </a:stretch>
                </pic:blipFill>
                <pic:spPr bwMode="auto">
                  <a:xfrm>
                    <a:off x="0" y="0"/>
                    <a:ext cx="5603875" cy="5601335"/>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0" distR="0" simplePos="0" relativeHeight="6" behindDoc="1" locked="0" layoutInCell="1" allowOverlap="1">
          <wp:simplePos x="0" y="0"/>
          <wp:positionH relativeFrom="column">
            <wp:posOffset>-1080135</wp:posOffset>
          </wp:positionH>
          <wp:positionV relativeFrom="paragraph">
            <wp:posOffset>-502920</wp:posOffset>
          </wp:positionV>
          <wp:extent cx="7792085" cy="941705"/>
          <wp:effectExtent l="0" t="0" r="0" b="0"/>
          <wp:wrapNone/>
          <wp:docPr id="2"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7792085" cy="941705"/>
                  </a:xfrm>
                  <a:prstGeom prst="rect">
                    <a:avLst/>
                  </a:prstGeom>
                  <a:noFill/>
                </pic:spPr>
              </pic:pic>
            </a:graphicData>
          </a:graphic>
        </wp:anchor>
      </w:drawing>
      <w:drawing>
        <wp:anchor distT="0" distB="0" distL="0" distR="0" simplePos="0" relativeHeight="11" behindDoc="1" locked="0" layoutInCell="1" allowOverlap="1">
          <wp:simplePos x="0" y="0"/>
          <wp:positionH relativeFrom="column">
            <wp:posOffset>-1080135</wp:posOffset>
          </wp:positionH>
          <wp:positionV relativeFrom="paragraph">
            <wp:posOffset>8338820</wp:posOffset>
          </wp:positionV>
          <wp:extent cx="7369810" cy="1249680"/>
          <wp:effectExtent l="0" t="0" r="0" b="0"/>
          <wp:wrapNone/>
          <wp:docPr id="3"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áfico 3"/>
                  <pic:cNvPicPr>
                    <a:picLocks noChangeAspect="1" noChangeArrowheads="1"/>
                  </pic:cNvPicPr>
                </pic:nvPicPr>
                <pic:blipFill>
                  <a:blip r:embed="rId3"/>
                  <a:stretch>
                    <a:fillRect/>
                  </a:stretch>
                </pic:blipFill>
                <pic:spPr bwMode="auto">
                  <a:xfrm>
                    <a:off x="0" y="0"/>
                    <a:ext cx="7369810" cy="1249680"/>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0" distR="0" simplePos="0" relativeHeight="6" behindDoc="1" locked="0" layoutInCell="1" allowOverlap="1">
          <wp:simplePos x="0" y="0"/>
          <wp:positionH relativeFrom="column">
            <wp:posOffset>-1080135</wp:posOffset>
          </wp:positionH>
          <wp:positionV relativeFrom="paragraph">
            <wp:posOffset>-502920</wp:posOffset>
          </wp:positionV>
          <wp:extent cx="7792085" cy="941705"/>
          <wp:effectExtent l="0" t="0" r="0" b="0"/>
          <wp:wrapNone/>
          <wp:docPr id="4"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7792085" cy="941705"/>
                  </a:xfrm>
                  <a:prstGeom prst="rect">
                    <a:avLst/>
                  </a:prstGeom>
                  <a:noFill/>
                </pic:spPr>
              </pic:pic>
            </a:graphicData>
          </a:graphic>
        </wp:anchor>
      </w:drawing>
      <w:drawing>
        <wp:anchor distT="0" distB="0" distL="0" distR="0" simplePos="0" relativeHeight="11" behindDoc="1" locked="0" layoutInCell="1" allowOverlap="1">
          <wp:simplePos x="0" y="0"/>
          <wp:positionH relativeFrom="column">
            <wp:posOffset>-1080135</wp:posOffset>
          </wp:positionH>
          <wp:positionV relativeFrom="paragraph">
            <wp:posOffset>8338820</wp:posOffset>
          </wp:positionV>
          <wp:extent cx="7369810" cy="1249680"/>
          <wp:effectExtent l="0" t="0" r="0" b="0"/>
          <wp:wrapNone/>
          <wp:docPr id="5"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áfico 3"/>
                  <pic:cNvPicPr>
                    <a:picLocks noChangeAspect="1" noChangeArrowheads="1"/>
                  </pic:cNvPicPr>
                </pic:nvPicPr>
                <pic:blipFill>
                  <a:blip r:embed="rId3"/>
                  <a:stretch>
                    <a:fillRect/>
                  </a:stretch>
                </pic:blipFill>
                <pic:spPr bwMode="auto">
                  <a:xfrm>
                    <a:off x="0" y="0"/>
                    <a:ext cx="7369810" cy="1249680"/>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
    <w:lvl w:ilvl="0">
      <w:start w:val="1"/>
      <w:numFmt w:val="decimal"/>
      <w:lvlText w:val="%1."/>
      <w:lvlJc w:val="start"/>
      <w:pPr>
        <w:tabs>
          <w:tab w:val="num" w:pos="720"/>
        </w:tabs>
        <w:ind w:start="720" w:hanging="360"/>
      </w:pPr>
      <w:rPr>
        <w:rFonts w:ascii="Adwaita Sans" w:hAnsi="Adwaita Sans"/>
        <w:b/>
        <w:bCs/>
      </w:rPr>
    </w:lvl>
    <w:lvl w:ilvl="1">
      <w:start w:val="1"/>
      <w:numFmt w:val="decimal"/>
      <w:lvlText w:val="%2."/>
      <w:lvlJc w:val="start"/>
      <w:pPr>
        <w:tabs>
          <w:tab w:val="num" w:pos="1080"/>
        </w:tabs>
        <w:ind w:start="1080" w:hanging="360"/>
      </w:pPr>
      <w:rPr>
        <w:rFonts w:ascii="Adwaita Sans" w:hAnsi="Adwaita Sans"/>
        <w:b/>
        <w:bCs/>
      </w:rPr>
    </w:lvl>
    <w:lvl w:ilvl="2">
      <w:start w:val="1"/>
      <w:numFmt w:val="decimal"/>
      <w:lvlText w:val="%3."/>
      <w:lvlJc w:val="start"/>
      <w:pPr>
        <w:tabs>
          <w:tab w:val="num" w:pos="1440"/>
        </w:tabs>
        <w:ind w:start="1440" w:hanging="360"/>
      </w:pPr>
      <w:rPr>
        <w:rFonts w:ascii="Adwaita Sans" w:hAnsi="Adwaita Sans"/>
        <w:b/>
        <w:bCs/>
      </w:rPr>
    </w:lvl>
    <w:lvl w:ilvl="3">
      <w:start w:val="1"/>
      <w:numFmt w:val="decimal"/>
      <w:lvlText w:val="%4."/>
      <w:lvlJc w:val="start"/>
      <w:pPr>
        <w:tabs>
          <w:tab w:val="num" w:pos="1800"/>
        </w:tabs>
        <w:ind w:start="1800" w:hanging="360"/>
      </w:pPr>
      <w:rPr>
        <w:rFonts w:ascii="Adwaita Sans" w:hAnsi="Adwaita Sans"/>
        <w:b/>
        <w:bCs/>
      </w:rPr>
    </w:lvl>
    <w:lvl w:ilvl="4">
      <w:start w:val="1"/>
      <w:numFmt w:val="decimal"/>
      <w:lvlText w:val="%5."/>
      <w:lvlJc w:val="start"/>
      <w:pPr>
        <w:tabs>
          <w:tab w:val="num" w:pos="2160"/>
        </w:tabs>
        <w:ind w:start="2160" w:hanging="360"/>
      </w:pPr>
      <w:rPr>
        <w:rFonts w:ascii="Adwaita Sans" w:hAnsi="Adwaita Sans"/>
        <w:b/>
        <w:bCs/>
      </w:rPr>
    </w:lvl>
    <w:lvl w:ilvl="5">
      <w:start w:val="1"/>
      <w:numFmt w:val="decimal"/>
      <w:lvlText w:val="%6."/>
      <w:lvlJc w:val="start"/>
      <w:pPr>
        <w:tabs>
          <w:tab w:val="num" w:pos="2520"/>
        </w:tabs>
        <w:ind w:start="2520" w:hanging="360"/>
      </w:pPr>
      <w:rPr>
        <w:rFonts w:ascii="Adwaita Sans" w:hAnsi="Adwaita Sans"/>
        <w:b/>
        <w:bCs/>
      </w:rPr>
    </w:lvl>
    <w:lvl w:ilvl="6">
      <w:start w:val="1"/>
      <w:numFmt w:val="decimal"/>
      <w:lvlText w:val="%7."/>
      <w:lvlJc w:val="start"/>
      <w:pPr>
        <w:tabs>
          <w:tab w:val="num" w:pos="2880"/>
        </w:tabs>
        <w:ind w:start="2880" w:hanging="360"/>
      </w:pPr>
      <w:rPr>
        <w:rFonts w:ascii="Adwaita Sans" w:hAnsi="Adwaita Sans"/>
        <w:b/>
        <w:bCs/>
      </w:rPr>
    </w:lvl>
    <w:lvl w:ilvl="7">
      <w:start w:val="1"/>
      <w:numFmt w:val="decimal"/>
      <w:lvlText w:val="%8."/>
      <w:lvlJc w:val="start"/>
      <w:pPr>
        <w:tabs>
          <w:tab w:val="num" w:pos="3240"/>
        </w:tabs>
        <w:ind w:start="3240" w:hanging="360"/>
      </w:pPr>
      <w:rPr>
        <w:rFonts w:ascii="Adwaita Sans" w:hAnsi="Adwaita Sans"/>
        <w:b/>
        <w:bCs/>
      </w:rPr>
    </w:lvl>
    <w:lvl w:ilvl="8">
      <w:start w:val="1"/>
      <w:numFmt w:val="decimal"/>
      <w:lvlText w:val="%9."/>
      <w:lvlJc w:val="start"/>
      <w:pPr>
        <w:tabs>
          <w:tab w:val="num" w:pos="3600"/>
        </w:tabs>
        <w:ind w:start="3600" w:hanging="360"/>
      </w:pPr>
      <w:rPr>
        <w:rFonts w:ascii="Adwaita Sans" w:hAnsi="Adwaita Sans"/>
        <w:b/>
        <w:bCs/>
      </w:rPr>
    </w:lvl>
  </w:abstractNum>
  <w:abstractNum w:abstractNumId="3">
    <w:lvl w:ilvl="0">
      <w:start w:val="1"/>
      <w:numFmt w:val="decimal"/>
      <w:lvlText w:val="%1."/>
      <w:lvlJc w:val="start"/>
      <w:pPr>
        <w:tabs>
          <w:tab w:val="num" w:pos="720"/>
        </w:tabs>
        <w:ind w:start="720" w:hanging="360"/>
      </w:pPr>
      <w:rPr>
        <w:rFonts w:ascii="Adwaita Sans" w:hAnsi="Adwaita Sans"/>
        <w:b/>
        <w:bCs/>
      </w:rPr>
    </w:lvl>
    <w:lvl w:ilvl="1">
      <w:start w:val="1"/>
      <w:numFmt w:val="decimal"/>
      <w:lvlText w:val="%2."/>
      <w:lvlJc w:val="start"/>
      <w:pPr>
        <w:tabs>
          <w:tab w:val="num" w:pos="1080"/>
        </w:tabs>
        <w:ind w:start="1080" w:hanging="360"/>
      </w:pPr>
      <w:rPr>
        <w:rFonts w:ascii="Adwaita Sans" w:hAnsi="Adwaita Sans"/>
        <w:b/>
        <w:bCs/>
      </w:rPr>
    </w:lvl>
    <w:lvl w:ilvl="2">
      <w:start w:val="1"/>
      <w:numFmt w:val="decimal"/>
      <w:lvlText w:val="%3."/>
      <w:lvlJc w:val="start"/>
      <w:pPr>
        <w:tabs>
          <w:tab w:val="num" w:pos="1440"/>
        </w:tabs>
        <w:ind w:start="1440" w:hanging="360"/>
      </w:pPr>
      <w:rPr>
        <w:rFonts w:ascii="Adwaita Sans" w:hAnsi="Adwaita Sans"/>
        <w:b/>
        <w:bCs/>
      </w:rPr>
    </w:lvl>
    <w:lvl w:ilvl="3">
      <w:start w:val="1"/>
      <w:numFmt w:val="decimal"/>
      <w:lvlText w:val="%4."/>
      <w:lvlJc w:val="start"/>
      <w:pPr>
        <w:tabs>
          <w:tab w:val="num" w:pos="1800"/>
        </w:tabs>
        <w:ind w:start="1800" w:hanging="360"/>
      </w:pPr>
      <w:rPr>
        <w:rFonts w:ascii="Adwaita Sans" w:hAnsi="Adwaita Sans"/>
        <w:b/>
        <w:bCs/>
      </w:rPr>
    </w:lvl>
    <w:lvl w:ilvl="4">
      <w:start w:val="1"/>
      <w:numFmt w:val="decimal"/>
      <w:lvlText w:val="%5."/>
      <w:lvlJc w:val="start"/>
      <w:pPr>
        <w:tabs>
          <w:tab w:val="num" w:pos="2160"/>
        </w:tabs>
        <w:ind w:start="2160" w:hanging="360"/>
      </w:pPr>
      <w:rPr>
        <w:rFonts w:ascii="Adwaita Sans" w:hAnsi="Adwaita Sans"/>
        <w:b/>
        <w:bCs/>
      </w:rPr>
    </w:lvl>
    <w:lvl w:ilvl="5">
      <w:start w:val="1"/>
      <w:numFmt w:val="decimal"/>
      <w:lvlText w:val="%6."/>
      <w:lvlJc w:val="start"/>
      <w:pPr>
        <w:tabs>
          <w:tab w:val="num" w:pos="2520"/>
        </w:tabs>
        <w:ind w:start="2520" w:hanging="360"/>
      </w:pPr>
      <w:rPr>
        <w:rFonts w:ascii="Adwaita Sans" w:hAnsi="Adwaita Sans"/>
        <w:b/>
        <w:bCs/>
      </w:rPr>
    </w:lvl>
    <w:lvl w:ilvl="6">
      <w:start w:val="1"/>
      <w:numFmt w:val="decimal"/>
      <w:lvlText w:val="%7."/>
      <w:lvlJc w:val="start"/>
      <w:pPr>
        <w:tabs>
          <w:tab w:val="num" w:pos="2880"/>
        </w:tabs>
        <w:ind w:start="2880" w:hanging="360"/>
      </w:pPr>
      <w:rPr>
        <w:rFonts w:ascii="Adwaita Sans" w:hAnsi="Adwaita Sans"/>
        <w:b/>
        <w:bCs/>
      </w:rPr>
    </w:lvl>
    <w:lvl w:ilvl="7">
      <w:start w:val="1"/>
      <w:numFmt w:val="decimal"/>
      <w:lvlText w:val="%8."/>
      <w:lvlJc w:val="start"/>
      <w:pPr>
        <w:tabs>
          <w:tab w:val="num" w:pos="3240"/>
        </w:tabs>
        <w:ind w:start="3240" w:hanging="360"/>
      </w:pPr>
      <w:rPr>
        <w:rFonts w:ascii="Adwaita Sans" w:hAnsi="Adwaita Sans"/>
        <w:b/>
        <w:bCs/>
      </w:rPr>
    </w:lvl>
    <w:lvl w:ilvl="8">
      <w:start w:val="1"/>
      <w:numFmt w:val="decimal"/>
      <w:lvlText w:val="%9."/>
      <w:lvlJc w:val="start"/>
      <w:pPr>
        <w:tabs>
          <w:tab w:val="num" w:pos="3600"/>
        </w:tabs>
        <w:ind w:start="3600" w:hanging="360"/>
      </w:pPr>
      <w:rPr>
        <w:rFonts w:ascii="Adwaita Sans" w:hAnsi="Adwaita Sans"/>
        <w:b/>
        <w:bCs/>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CO"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Calibri" w:cs="Times New Roman" w:eastAsiaTheme="minorHAnsi"/>
        <w:sz w:val="22"/>
        <w:szCs w:val="22"/>
        <w:lang w:val="es-CO"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lineRule="auto" w:line="240" w:before="0" w:after="0"/>
      <w:jc w:val="start"/>
    </w:pPr>
    <w:rPr>
      <w:rFonts w:ascii="Cambria" w:hAnsi="Cambria" w:eastAsia="Calibri" w:cs="Times New Roman" w:eastAsiaTheme="minorHAnsi"/>
      <w:color w:val="auto"/>
      <w:kern w:val="0"/>
      <w:sz w:val="22"/>
      <w:szCs w:val="22"/>
      <w:lang w:val="es-CO" w:eastAsia="en-US" w:bidi="ar-SA"/>
    </w:rPr>
  </w:style>
  <w:style w:type="paragraph" w:styleId="Heading1">
    <w:name w:val="heading 1"/>
    <w:basedOn w:val="Heading"/>
    <w:next w:val="BodyText"/>
    <w:qFormat/>
    <w:pPr>
      <w:spacing w:lineRule="auto" w:line="240" w:before="245" w:after="0"/>
      <w:outlineLvl w:val="0"/>
    </w:pPr>
    <w:rPr>
      <w:rFonts w:ascii="FreeSerif" w:hAnsi="FreeSerif" w:eastAsia="Adwaita Sans" w:cs="FreeSerif"/>
      <w:b/>
      <w:bCs/>
      <w:sz w:val="48"/>
      <w:szCs w:val="48"/>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Header"/>
    <w:uiPriority w:val="99"/>
    <w:qFormat/>
    <w:rsid w:val="00a2673d"/>
    <w:rPr/>
  </w:style>
  <w:style w:type="character" w:styleId="PiedepginaCar" w:customStyle="1">
    <w:name w:val="Pie de página Car"/>
    <w:basedOn w:val="DefaultParagraphFont"/>
    <w:link w:val="Footer"/>
    <w:uiPriority w:val="99"/>
    <w:qFormat/>
    <w:rsid w:val="00a2673d"/>
    <w:rPr/>
  </w:style>
  <w:style w:type="character" w:styleId="Hyperlink">
    <w:name w:val="Hyperlink"/>
    <w:rPr>
      <w:color w:val="000080"/>
      <w:u w:val="single"/>
    </w:rPr>
  </w:style>
  <w:style w:type="character" w:styleId="NumberingSymbols">
    <w:name w:val="Numbering Symbols"/>
    <w:qFormat/>
    <w:rPr>
      <w:rFonts w:ascii="Adwaita Sans" w:hAnsi="Adwaita Sans"/>
      <w:b/>
      <w:bCs/>
    </w:rPr>
  </w:style>
  <w:style w:type="character" w:styleId="Bullets">
    <w:name w:val="Bullets"/>
    <w:qFormat/>
    <w:rPr>
      <w:rFonts w:ascii="OpenSymbol" w:hAnsi="OpenSymbol" w:eastAsia="OpenSymbol" w:cs="OpenSymbol"/>
    </w:rPr>
  </w:style>
  <w:style w:type="character" w:styleId="Bulletsuser">
    <w:name w:val="Bullets (user)"/>
    <w:qFormat/>
    <w:rPr>
      <w:rFonts w:ascii="OpenSymbol" w:hAnsi="OpenSymbol" w:eastAsia="OpenSymbol" w:cs="OpenSymbol"/>
    </w:rPr>
  </w:style>
  <w:style w:type="character" w:styleId="Emphasis">
    <w:name w:val="Emphasis"/>
    <w:qFormat/>
    <w:rPr>
      <w:i/>
      <w:iCs/>
    </w:rPr>
  </w:style>
  <w:style w:type="character" w:styleId="Strong">
    <w:name w:val="Strong"/>
    <w:qFormat/>
    <w:rPr>
      <w:b/>
      <w:bCs/>
    </w:rPr>
  </w:style>
  <w:style w:type="paragraph" w:styleId="Heading">
    <w:name w:val="Heading"/>
    <w:basedOn w:val="Normal"/>
    <w:next w:val="BodyText"/>
    <w:qFormat/>
    <w:pPr>
      <w:keepNext w:val="true"/>
      <w:spacing w:before="240" w:after="120"/>
    </w:pPr>
    <w:rPr>
      <w:rFonts w:ascii="FreeSans" w:hAnsi="FreeSans" w:eastAsia="FreeSans"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HeaderandFooter">
    <w:name w:val="Header and Footer"/>
    <w:basedOn w:val="Normal"/>
    <w:qFormat/>
    <w:pPr/>
    <w:rPr/>
  </w:style>
  <w:style w:type="paragraph" w:styleId="Header">
    <w:name w:val="header"/>
    <w:basedOn w:val="Normal"/>
    <w:link w:val="EncabezadoCar"/>
    <w:uiPriority w:val="99"/>
    <w:unhideWhenUsed/>
    <w:rsid w:val="00a2673d"/>
    <w:pPr>
      <w:tabs>
        <w:tab w:val="clear" w:pos="708"/>
        <w:tab w:val="center" w:pos="4419" w:leader="none"/>
        <w:tab w:val="right" w:pos="8838" w:leader="none"/>
      </w:tabs>
      <w:spacing w:lineRule="auto" w:line="240" w:before="0" w:after="0"/>
    </w:pPr>
    <w:rPr/>
  </w:style>
  <w:style w:type="paragraph" w:styleId="Footer">
    <w:name w:val="footer"/>
    <w:basedOn w:val="Normal"/>
    <w:link w:val="PiedepginaCar"/>
    <w:uiPriority w:val="99"/>
    <w:unhideWhenUsed/>
    <w:rsid w:val="00a2673d"/>
    <w:pPr>
      <w:tabs>
        <w:tab w:val="clear" w:pos="708"/>
        <w:tab w:val="center" w:pos="4419" w:leader="none"/>
        <w:tab w:val="right" w:pos="8838" w:leader="none"/>
      </w:tabs>
      <w:spacing w:lineRule="auto" w:line="240" w:before="0" w:after="0"/>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ublicationethics.org/core-practices" TargetMode="External"/><Relationship Id="rId3" Type="http://schemas.openxmlformats.org/officeDocument/2006/relationships/hyperlink" Target="https://www.cidob.org/revista-cidob-dafers-internacionals-codigo-etico-y-declaracion-de-buenas-practicas" TargetMode="External"/><Relationship Id="rId4" Type="http://schemas.openxmlformats.org/officeDocument/2006/relationships/hyperlink" Target="https://revistas.udenar.edu.co/index.php/usalud/singaporedeclaration"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hyperlink" Target="https://publicationethics.org/about/what-we-do/our-story/core-practices" TargetMode="External"/><Relationship Id="rId12" Type="http://schemas.openxmlformats.org/officeDocument/2006/relationships/hyperlink" Target="https://publicationethics.org/guidance/guideline/retraction-guidelines" TargetMode="External"/><Relationship Id="rId13" Type="http://schemas.openxmlformats.org/officeDocument/2006/relationships/hyperlink" Target="https://www.wma.net/es/policies-post/declaracion-de-helsinki-de-la-amm-principios-eticos-para-las-investigaciones-medicas-en-seres-humanos/" TargetMode="External"/><Relationship Id="rId14" Type="http://schemas.openxmlformats.org/officeDocument/2006/relationships/hyperlink" Target="https://minsalud.gov.co/sites/rid/Lists/BibliotecaDigital/RIDE/DE/DIJ/RESOLUCION-8430-DE-1993.pdf" TargetMode="External"/><Relationship Id="rId15" Type="http://schemas.openxmlformats.org/officeDocument/2006/relationships/hyperlink" Target="https://www.wma.net/es/policies-post/declaracion-de-helsinki-de-la-amm-principios-eticos-para-las-investigaciones-medicas-en-seres-humanos/" TargetMode="External"/><Relationship Id="rId16" Type="http://schemas.openxmlformats.org/officeDocument/2006/relationships/hyperlink" Target="https://www.unisabana.edu.co/fileadmin/Archivos_de_usuario/Documentos/Documentos_Investigacion/Docs_Comite_Etica/UNESCO__Bioetica_y_Derechos_Humanos_2005_unisabana.pdf" TargetMode="Externa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svg"/><Relationship Id="rId3" Type="http://schemas.openxmlformats.org/officeDocument/2006/relationships/image" Target="media/image4.png"/>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svg"/><Relationship Id="rId3" Type="http://schemas.openxmlformats.org/officeDocument/2006/relationships/image" Target="media/image4.pn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37</TotalTime>
  <Application>LibreOffice/26.2.3.2$Linux_X86_64 LibreOffice_project/620$Build-2</Application>
  <AppVersion>15.0000</AppVersion>
  <Pages>5</Pages>
  <Words>1704</Words>
  <Characters>9565</Characters>
  <CharactersWithSpaces>11218</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2025-02-27T17:00:00Z</dcterms:created>
  <dc:creator>Revista Universidad y Salud</dc:creator>
  <dc:description/>
  <dc:language>en-US</dc:language>
  <cp:lastModifiedBy>Alejandro Castrillón</cp:lastModifiedBy>
  <cp:lastPrinted>2026-03-16T14:40:43Z</cp:lastPrinted>
  <dcterms:modified xsi:type="dcterms:W3CDTF">2026-05-25T08:51:02Z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file>